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502B6A4D" w14:textId="77777777" w:rsidTr="00943920">
        <w:trPr>
          <w:trHeight w:val="841"/>
        </w:trPr>
        <w:tc>
          <w:tcPr>
            <w:tcW w:w="7621" w:type="dxa"/>
            <w:gridSpan w:val="2"/>
            <w:shd w:val="clear" w:color="auto" w:fill="auto"/>
            <w:vAlign w:val="center"/>
          </w:tcPr>
          <w:p w14:paraId="13653048"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E271DC" w:rsidRPr="003519F9">
              <w:rPr>
                <w:rFonts w:ascii="Oswald" w:hAnsi="Oswald" w:cs="Arial"/>
                <w:b/>
                <w:smallCaps/>
                <w:noProof/>
              </w:rPr>
              <w:t>Global Policy Lead</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6B16C1"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777A582F" wp14:editId="5452A9EF">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3DA32FD1"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5837985" w14:textId="77777777" w:rsidR="00943920" w:rsidRPr="005E601E" w:rsidRDefault="00E271DC" w:rsidP="00943920">
            <w:pPr>
              <w:rPr>
                <w:rFonts w:ascii="Oswald" w:hAnsi="Oswald"/>
                <w:bCs/>
                <w:sz w:val="22"/>
                <w:szCs w:val="22"/>
              </w:rPr>
            </w:pPr>
            <w:r w:rsidRPr="003519F9">
              <w:rPr>
                <w:rFonts w:ascii="Oswald" w:hAnsi="Oswald"/>
                <w:bCs/>
                <w:noProof/>
                <w:sz w:val="22"/>
                <w:szCs w:val="22"/>
              </w:rPr>
              <w:t>Global Policy Lead</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1BE199C2"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33B52339" w14:textId="77777777" w:rsidR="00943920" w:rsidRDefault="00E271DC" w:rsidP="00E31215">
            <w:pPr>
              <w:rPr>
                <w:rFonts w:ascii="Oswald" w:hAnsi="Oswald"/>
                <w:bCs/>
                <w:sz w:val="22"/>
                <w:szCs w:val="22"/>
              </w:rPr>
            </w:pPr>
            <w:r w:rsidRPr="003519F9">
              <w:rPr>
                <w:rFonts w:ascii="Oswald" w:hAnsi="Oswald"/>
                <w:bCs/>
                <w:noProof/>
                <w:sz w:val="22"/>
                <w:szCs w:val="22"/>
              </w:rPr>
              <w:t>NEW0000340</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2CF4FD90" w14:textId="77777777" w:rsidTr="61E02F1F">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49BA8745" w14:textId="77777777" w:rsidR="00F64009" w:rsidRPr="005E601E" w:rsidRDefault="00E271DC" w:rsidP="002776C1">
            <w:pPr>
              <w:rPr>
                <w:rFonts w:ascii="Lato" w:hAnsi="Lato"/>
                <w:bCs/>
                <w:iCs/>
                <w:sz w:val="22"/>
                <w:szCs w:val="22"/>
              </w:rPr>
            </w:pPr>
            <w:r w:rsidRPr="003519F9">
              <w:rPr>
                <w:rFonts w:ascii="Lato" w:hAnsi="Lato"/>
                <w:bCs/>
                <w:iCs/>
                <w:noProof/>
                <w:sz w:val="22"/>
                <w:szCs w:val="22"/>
              </w:rPr>
              <w:t>Integrated influencing</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241B4DA" w14:textId="77777777" w:rsidR="00F64009" w:rsidRPr="005E601E" w:rsidRDefault="00E271DC" w:rsidP="00F64009">
            <w:pPr>
              <w:rPr>
                <w:rFonts w:ascii="Lato" w:hAnsi="Lato"/>
                <w:bCs/>
                <w:iCs/>
                <w:sz w:val="22"/>
                <w:szCs w:val="22"/>
              </w:rPr>
            </w:pPr>
            <w:r w:rsidRPr="003519F9">
              <w:rPr>
                <w:rFonts w:ascii="Lato" w:hAnsi="Lato"/>
                <w:bCs/>
                <w:iCs/>
                <w:noProof/>
                <w:sz w:val="22"/>
                <w:szCs w:val="22"/>
              </w:rPr>
              <w:t>P5</w:t>
            </w:r>
          </w:p>
        </w:tc>
      </w:tr>
      <w:tr w:rsidR="00994C06" w:rsidRPr="005E601E" w14:paraId="2FBA5AA5" w14:textId="77777777" w:rsidTr="61E02F1F">
        <w:trPr>
          <w:trHeight w:val="304"/>
        </w:trPr>
        <w:tc>
          <w:tcPr>
            <w:tcW w:w="1809" w:type="dxa"/>
            <w:shd w:val="clear" w:color="auto" w:fill="D5E0E1"/>
            <w:vAlign w:val="center"/>
          </w:tcPr>
          <w:p w14:paraId="5C072BEF" w14:textId="77777777" w:rsidR="00F64009" w:rsidRPr="005E601E" w:rsidRDefault="00F64009" w:rsidP="61E02F1F">
            <w:pPr>
              <w:rPr>
                <w:rFonts w:ascii="Lato" w:hAnsi="Lato"/>
                <w:b/>
                <w:bCs/>
                <w:sz w:val="22"/>
                <w:szCs w:val="22"/>
              </w:rPr>
            </w:pPr>
            <w:r w:rsidRPr="61E02F1F">
              <w:rPr>
                <w:rFonts w:ascii="Lato" w:hAnsi="Lato"/>
                <w:b/>
                <w:bCs/>
                <w:sz w:val="22"/>
                <w:szCs w:val="22"/>
              </w:rPr>
              <w:t>Reports To (Title)</w:t>
            </w:r>
          </w:p>
        </w:tc>
        <w:tc>
          <w:tcPr>
            <w:tcW w:w="3261" w:type="dxa"/>
            <w:vAlign w:val="center"/>
          </w:tcPr>
          <w:p w14:paraId="788A4B88" w14:textId="77777777" w:rsidR="00F64009" w:rsidRPr="005E601E" w:rsidRDefault="00E271DC" w:rsidP="61E02F1F">
            <w:pPr>
              <w:rPr>
                <w:rFonts w:ascii="Lato" w:hAnsi="Lato"/>
                <w:sz w:val="22"/>
                <w:szCs w:val="22"/>
              </w:rPr>
            </w:pPr>
            <w:r w:rsidRPr="61E02F1F">
              <w:rPr>
                <w:rFonts w:ascii="Lato" w:hAnsi="Lato"/>
                <w:noProof/>
                <w:sz w:val="22"/>
                <w:szCs w:val="22"/>
              </w:rPr>
              <w:t>Director of Child Rights, Policy and Advocacy</w:t>
            </w:r>
          </w:p>
        </w:tc>
        <w:tc>
          <w:tcPr>
            <w:tcW w:w="2268" w:type="dxa"/>
            <w:shd w:val="clear" w:color="auto" w:fill="D5E0E1"/>
            <w:vAlign w:val="center"/>
          </w:tcPr>
          <w:p w14:paraId="3087F16C" w14:textId="77777777" w:rsidR="00F64009" w:rsidRPr="005E601E" w:rsidRDefault="00072577" w:rsidP="61E02F1F">
            <w:pPr>
              <w:rPr>
                <w:rFonts w:ascii="Lato" w:hAnsi="Lato"/>
                <w:b/>
                <w:bCs/>
                <w:sz w:val="22"/>
                <w:szCs w:val="22"/>
              </w:rPr>
            </w:pPr>
            <w:r w:rsidRPr="61E02F1F">
              <w:rPr>
                <w:rFonts w:ascii="Lato" w:hAnsi="Lato"/>
                <w:b/>
                <w:bCs/>
                <w:sz w:val="22"/>
                <w:szCs w:val="22"/>
              </w:rPr>
              <w:t>Contract Length</w:t>
            </w:r>
          </w:p>
        </w:tc>
        <w:tc>
          <w:tcPr>
            <w:tcW w:w="2958" w:type="dxa"/>
            <w:vAlign w:val="center"/>
          </w:tcPr>
          <w:p w14:paraId="41C8F396" w14:textId="29287C90" w:rsidR="00F64009" w:rsidRPr="005E601E" w:rsidRDefault="2884D38F" w:rsidP="61E02F1F">
            <w:pPr>
              <w:rPr>
                <w:rFonts w:ascii="Lato" w:hAnsi="Lato"/>
                <w:sz w:val="22"/>
                <w:szCs w:val="22"/>
              </w:rPr>
            </w:pPr>
            <w:r w:rsidRPr="61E02F1F">
              <w:rPr>
                <w:rFonts w:ascii="Lato" w:hAnsi="Lato"/>
                <w:sz w:val="22"/>
                <w:szCs w:val="22"/>
              </w:rPr>
              <w:t>Permanent</w:t>
            </w:r>
          </w:p>
        </w:tc>
      </w:tr>
      <w:tr w:rsidR="00BB1C79" w:rsidRPr="005E601E" w14:paraId="69B32599" w14:textId="77777777" w:rsidTr="61E02F1F">
        <w:trPr>
          <w:trHeight w:val="304"/>
        </w:trPr>
        <w:tc>
          <w:tcPr>
            <w:tcW w:w="1809" w:type="dxa"/>
            <w:shd w:val="clear" w:color="auto" w:fill="D5E0E1"/>
            <w:vAlign w:val="center"/>
          </w:tcPr>
          <w:p w14:paraId="1D2B207C" w14:textId="77777777" w:rsidR="00BB1C79" w:rsidRPr="005E601E" w:rsidRDefault="00BB1C79" w:rsidP="61E02F1F">
            <w:pPr>
              <w:rPr>
                <w:rFonts w:ascii="Lato" w:hAnsi="Lato"/>
                <w:b/>
                <w:bCs/>
                <w:sz w:val="22"/>
                <w:szCs w:val="22"/>
              </w:rPr>
            </w:pPr>
            <w:r w:rsidRPr="61E02F1F">
              <w:rPr>
                <w:rFonts w:ascii="Lato" w:hAnsi="Lato"/>
                <w:b/>
                <w:bCs/>
                <w:sz w:val="22"/>
                <w:szCs w:val="22"/>
              </w:rPr>
              <w:t>Location</w:t>
            </w:r>
          </w:p>
        </w:tc>
        <w:tc>
          <w:tcPr>
            <w:tcW w:w="3261" w:type="dxa"/>
            <w:vAlign w:val="center"/>
          </w:tcPr>
          <w:p w14:paraId="72A3D3EC" w14:textId="1DB6A08F" w:rsidR="00BB1C79" w:rsidRDefault="1C18F0E3" w:rsidP="61E02F1F">
            <w:pPr>
              <w:rPr>
                <w:rFonts w:ascii="Lato" w:hAnsi="Lato"/>
                <w:sz w:val="22"/>
                <w:szCs w:val="22"/>
              </w:rPr>
            </w:pPr>
            <w:r w:rsidRPr="61E02F1F">
              <w:rPr>
                <w:rFonts w:ascii="Lato" w:hAnsi="Lato"/>
                <w:sz w:val="22"/>
                <w:szCs w:val="22"/>
              </w:rPr>
              <w:t>Any existing SCI location</w:t>
            </w:r>
          </w:p>
        </w:tc>
        <w:tc>
          <w:tcPr>
            <w:tcW w:w="2268" w:type="dxa"/>
            <w:shd w:val="clear" w:color="auto" w:fill="D5E0E1"/>
            <w:vAlign w:val="center"/>
          </w:tcPr>
          <w:p w14:paraId="36246C5F" w14:textId="77777777" w:rsidR="00BB1C79" w:rsidRPr="005E601E" w:rsidRDefault="00BB1C79" w:rsidP="61E02F1F">
            <w:pPr>
              <w:rPr>
                <w:rFonts w:ascii="Lato" w:hAnsi="Lato"/>
                <w:b/>
                <w:bCs/>
                <w:sz w:val="22"/>
                <w:szCs w:val="22"/>
              </w:rPr>
            </w:pPr>
            <w:r w:rsidRPr="61E02F1F">
              <w:rPr>
                <w:rFonts w:ascii="Lato" w:hAnsi="Lato"/>
                <w:b/>
                <w:bCs/>
                <w:sz w:val="22"/>
                <w:szCs w:val="22"/>
              </w:rPr>
              <w:t>Time-zone</w:t>
            </w:r>
          </w:p>
        </w:tc>
        <w:tc>
          <w:tcPr>
            <w:tcW w:w="2958" w:type="dxa"/>
            <w:vAlign w:val="center"/>
          </w:tcPr>
          <w:p w14:paraId="0D0B940D" w14:textId="59345666" w:rsidR="00BB1C79" w:rsidRDefault="21096C7F" w:rsidP="61E02F1F">
            <w:pPr>
              <w:rPr>
                <w:rFonts w:ascii="Lato" w:hAnsi="Lato"/>
                <w:sz w:val="22"/>
                <w:szCs w:val="22"/>
              </w:rPr>
            </w:pPr>
            <w:r w:rsidRPr="61E02F1F">
              <w:rPr>
                <w:rFonts w:ascii="Lato" w:hAnsi="Lato"/>
                <w:sz w:val="22"/>
                <w:szCs w:val="22"/>
              </w:rPr>
              <w:t>Any</w:t>
            </w:r>
          </w:p>
        </w:tc>
      </w:tr>
      <w:tr w:rsidR="00BB1C79" w:rsidRPr="005E601E" w14:paraId="31AB58CF" w14:textId="77777777" w:rsidTr="61E02F1F">
        <w:trPr>
          <w:trHeight w:val="304"/>
        </w:trPr>
        <w:tc>
          <w:tcPr>
            <w:tcW w:w="1809" w:type="dxa"/>
            <w:shd w:val="clear" w:color="auto" w:fill="D5E0E1"/>
            <w:vAlign w:val="center"/>
          </w:tcPr>
          <w:p w14:paraId="76F1BADF" w14:textId="77777777" w:rsidR="00BB1C79" w:rsidRDefault="00BB1C79" w:rsidP="61E02F1F">
            <w:pPr>
              <w:rPr>
                <w:rFonts w:ascii="Lato" w:hAnsi="Lato"/>
                <w:b/>
                <w:bCs/>
                <w:sz w:val="22"/>
                <w:szCs w:val="22"/>
              </w:rPr>
            </w:pPr>
            <w:r w:rsidRPr="61E02F1F">
              <w:rPr>
                <w:rFonts w:ascii="Lato" w:hAnsi="Lato"/>
                <w:b/>
                <w:bCs/>
                <w:sz w:val="22"/>
                <w:szCs w:val="22"/>
              </w:rPr>
              <w:t>Languages</w:t>
            </w:r>
          </w:p>
        </w:tc>
        <w:tc>
          <w:tcPr>
            <w:tcW w:w="3261" w:type="dxa"/>
            <w:vAlign w:val="center"/>
          </w:tcPr>
          <w:p w14:paraId="0E27B00A" w14:textId="6D5E799E" w:rsidR="00BB1C79" w:rsidRDefault="43DB10C2" w:rsidP="61E02F1F">
            <w:pPr>
              <w:rPr>
                <w:rFonts w:ascii="Lato" w:hAnsi="Lato"/>
                <w:sz w:val="22"/>
                <w:szCs w:val="22"/>
              </w:rPr>
            </w:pPr>
            <w:r w:rsidRPr="61E02F1F">
              <w:rPr>
                <w:rFonts w:ascii="Lato" w:hAnsi="Lato"/>
                <w:sz w:val="22"/>
                <w:szCs w:val="22"/>
              </w:rPr>
              <w:t>English</w:t>
            </w:r>
          </w:p>
        </w:tc>
        <w:tc>
          <w:tcPr>
            <w:tcW w:w="2268" w:type="dxa"/>
            <w:shd w:val="clear" w:color="auto" w:fill="D5E0E1"/>
            <w:vAlign w:val="center"/>
          </w:tcPr>
          <w:p w14:paraId="22E01CEC" w14:textId="77777777" w:rsidR="00BB1C79" w:rsidRPr="009E2DAC" w:rsidRDefault="009E2DAC" w:rsidP="61E02F1F">
            <w:pPr>
              <w:rPr>
                <w:rFonts w:ascii="Lato" w:hAnsi="Lato"/>
                <w:b/>
                <w:bCs/>
                <w:sz w:val="22"/>
                <w:szCs w:val="22"/>
              </w:rPr>
            </w:pPr>
            <w:r w:rsidRPr="61E02F1F">
              <w:rPr>
                <w:rFonts w:ascii="Lato" w:hAnsi="Lato"/>
                <w:b/>
                <w:bCs/>
                <w:sz w:val="22"/>
                <w:szCs w:val="22"/>
              </w:rPr>
              <w:t>Headcount</w:t>
            </w:r>
          </w:p>
        </w:tc>
        <w:tc>
          <w:tcPr>
            <w:tcW w:w="2958" w:type="dxa"/>
            <w:vAlign w:val="center"/>
          </w:tcPr>
          <w:p w14:paraId="649841BE" w14:textId="77777777" w:rsidR="00BB1C79" w:rsidRPr="009E2DAC" w:rsidRDefault="00E271DC" w:rsidP="61E02F1F">
            <w:pPr>
              <w:rPr>
                <w:rFonts w:ascii="Lato" w:hAnsi="Lato"/>
                <w:sz w:val="22"/>
                <w:szCs w:val="22"/>
              </w:rPr>
            </w:pPr>
            <w:r w:rsidRPr="61E02F1F">
              <w:rPr>
                <w:rFonts w:ascii="Lato" w:hAnsi="Lato"/>
                <w:noProof/>
                <w:sz w:val="22"/>
                <w:szCs w:val="22"/>
              </w:rPr>
              <w:t>1</w:t>
            </w:r>
          </w:p>
        </w:tc>
      </w:tr>
    </w:tbl>
    <w:p w14:paraId="60061E4C"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61E02F1F">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458E65F2" w14:textId="77777777" w:rsidTr="61E02F1F">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44EAFD9C" w14:textId="77777777" w:rsidR="00E271DC" w:rsidRPr="003519F9" w:rsidRDefault="00E271DC" w:rsidP="00C715DD">
            <w:pPr>
              <w:rPr>
                <w:rFonts w:ascii="Lato" w:hAnsi="Lato"/>
                <w:bCs/>
                <w:iCs/>
                <w:noProof/>
                <w:color w:val="000000"/>
                <w:sz w:val="22"/>
                <w:szCs w:val="22"/>
              </w:rPr>
            </w:pPr>
          </w:p>
          <w:p w14:paraId="024A1B75" w14:textId="77777777" w:rsidR="00E271DC" w:rsidRPr="003519F9" w:rsidRDefault="00E271DC" w:rsidP="00C715DD">
            <w:pPr>
              <w:rPr>
                <w:rFonts w:ascii="Lato" w:hAnsi="Lato"/>
                <w:bCs/>
                <w:iCs/>
                <w:noProof/>
                <w:color w:val="000000"/>
                <w:sz w:val="22"/>
                <w:szCs w:val="22"/>
              </w:rPr>
            </w:pPr>
            <w:r w:rsidRPr="003519F9">
              <w:rPr>
                <w:rFonts w:ascii="Lato" w:hAnsi="Lato"/>
                <w:bCs/>
                <w:iCs/>
                <w:noProof/>
                <w:color w:val="000000"/>
                <w:sz w:val="22"/>
                <w:szCs w:val="22"/>
              </w:rPr>
              <w:t>- Co-own delivery of the Advocate, Campaign &amp; Mobilise enabler.</w:t>
            </w:r>
          </w:p>
          <w:p w14:paraId="48FC079D" w14:textId="77777777" w:rsidR="00E271DC" w:rsidRPr="003519F9" w:rsidRDefault="00E271DC" w:rsidP="00C715DD">
            <w:pPr>
              <w:rPr>
                <w:rFonts w:ascii="Lato" w:hAnsi="Lato"/>
                <w:bCs/>
                <w:iCs/>
                <w:noProof/>
                <w:color w:val="000000"/>
                <w:sz w:val="22"/>
                <w:szCs w:val="22"/>
              </w:rPr>
            </w:pPr>
            <w:r w:rsidRPr="003519F9">
              <w:rPr>
                <w:rFonts w:ascii="Lato" w:hAnsi="Lato"/>
                <w:bCs/>
                <w:iCs/>
                <w:noProof/>
                <w:color w:val="000000"/>
                <w:sz w:val="22"/>
                <w:szCs w:val="22"/>
              </w:rPr>
              <w:t>- Establish a globally aligned and relevant policy and advocacy agenda for the movement, always elevating &amp; centring the voices of children, partners and countries.</w:t>
            </w:r>
          </w:p>
          <w:p w14:paraId="10976CA9" w14:textId="77777777" w:rsidR="00E271DC" w:rsidRPr="003519F9" w:rsidRDefault="00E271DC" w:rsidP="00C715DD">
            <w:pPr>
              <w:rPr>
                <w:rFonts w:ascii="Lato" w:hAnsi="Lato"/>
                <w:bCs/>
                <w:iCs/>
                <w:noProof/>
                <w:color w:val="000000"/>
                <w:sz w:val="22"/>
                <w:szCs w:val="22"/>
              </w:rPr>
            </w:pPr>
            <w:r w:rsidRPr="003519F9">
              <w:rPr>
                <w:rFonts w:ascii="Lato" w:hAnsi="Lato"/>
                <w:bCs/>
                <w:iCs/>
                <w:noProof/>
                <w:color w:val="000000"/>
                <w:sz w:val="22"/>
                <w:szCs w:val="22"/>
              </w:rPr>
              <w:t xml:space="preserve">- Embed child rights-orientated approach across the I&amp;I department. </w:t>
            </w:r>
          </w:p>
          <w:p w14:paraId="30D7C3FC" w14:textId="77777777" w:rsidR="00E271DC" w:rsidRPr="003519F9" w:rsidRDefault="00E271DC" w:rsidP="00C715DD">
            <w:pPr>
              <w:rPr>
                <w:rFonts w:ascii="Lato" w:hAnsi="Lato"/>
                <w:bCs/>
                <w:iCs/>
                <w:noProof/>
                <w:color w:val="000000"/>
                <w:sz w:val="22"/>
                <w:szCs w:val="22"/>
              </w:rPr>
            </w:pPr>
            <w:r w:rsidRPr="003519F9">
              <w:rPr>
                <w:rFonts w:ascii="Lato" w:hAnsi="Lato"/>
                <w:bCs/>
                <w:iCs/>
                <w:noProof/>
                <w:color w:val="000000"/>
                <w:sz w:val="22"/>
                <w:szCs w:val="22"/>
              </w:rPr>
              <w:t>- Drive our external engagement, ensuring our influencing works across local-global and maximises the voice of stakeholders across the Movement (COs, NOs, Members).</w:t>
            </w:r>
          </w:p>
          <w:p w14:paraId="2E1359F1" w14:textId="77777777" w:rsidR="00E271DC" w:rsidRPr="003519F9" w:rsidRDefault="00E271DC" w:rsidP="00C715DD">
            <w:pPr>
              <w:rPr>
                <w:rFonts w:ascii="Lato" w:hAnsi="Lato"/>
                <w:bCs/>
                <w:iCs/>
                <w:noProof/>
                <w:color w:val="000000"/>
                <w:sz w:val="22"/>
                <w:szCs w:val="22"/>
              </w:rPr>
            </w:pPr>
            <w:r w:rsidRPr="003519F9">
              <w:rPr>
                <w:rFonts w:ascii="Lato" w:hAnsi="Lato"/>
                <w:bCs/>
                <w:iCs/>
                <w:noProof/>
                <w:color w:val="000000"/>
                <w:sz w:val="22"/>
                <w:szCs w:val="22"/>
              </w:rPr>
              <w:t xml:space="preserve">Lead a unified UN strategy and AO team across New York &amp; Geneva  </w:t>
            </w:r>
          </w:p>
          <w:p w14:paraId="720778B8" w14:textId="77777777" w:rsidR="00A338D7" w:rsidRPr="00033EB6" w:rsidRDefault="00E271DC" w:rsidP="00A338D7">
            <w:pPr>
              <w:rPr>
                <w:rFonts w:ascii="Lato" w:hAnsi="Lato"/>
                <w:bCs/>
                <w:iCs/>
                <w:color w:val="000000"/>
                <w:sz w:val="22"/>
                <w:szCs w:val="22"/>
              </w:rPr>
            </w:pPr>
            <w:r w:rsidRPr="003519F9">
              <w:rPr>
                <w:rFonts w:ascii="Lato" w:hAnsi="Lato"/>
                <w:bCs/>
                <w:iCs/>
                <w:noProof/>
                <w:color w:val="000000"/>
                <w:sz w:val="22"/>
                <w:szCs w:val="22"/>
              </w:rPr>
              <w:t>Accountable for shared leadership of I&amp;I strategy</w:t>
            </w:r>
          </w:p>
          <w:p w14:paraId="4B94D5A5"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7CCE729D" w14:textId="717DEF7A" w:rsidR="00A338D7" w:rsidRPr="005E601E" w:rsidRDefault="00E271DC" w:rsidP="61E02F1F">
            <w:pPr>
              <w:rPr>
                <w:rFonts w:ascii="Lato" w:eastAsia="Lato" w:hAnsi="Lato" w:cs="Lato"/>
                <w:noProof/>
                <w:sz w:val="22"/>
                <w:szCs w:val="22"/>
              </w:rPr>
            </w:pPr>
            <w:r w:rsidRPr="61E02F1F">
              <w:rPr>
                <w:rFonts w:ascii="Lato" w:hAnsi="Lato"/>
                <w:noProof/>
                <w:color w:val="000000" w:themeColor="text1"/>
                <w:sz w:val="22"/>
                <w:szCs w:val="22"/>
              </w:rPr>
              <w:t xml:space="preserve">To coordinate and drive the development and implementation of advocacy strategies </w:t>
            </w:r>
            <w:r w:rsidR="008662C2">
              <w:rPr>
                <w:rFonts w:ascii="Lato" w:hAnsi="Lato"/>
                <w:noProof/>
                <w:color w:val="000000" w:themeColor="text1"/>
                <w:sz w:val="22"/>
                <w:szCs w:val="22"/>
              </w:rPr>
              <w:t xml:space="preserve">and policy positions </w:t>
            </w:r>
            <w:r w:rsidRPr="61E02F1F">
              <w:rPr>
                <w:rFonts w:ascii="Lato" w:hAnsi="Lato"/>
                <w:noProof/>
                <w:color w:val="000000" w:themeColor="text1"/>
                <w:sz w:val="22"/>
                <w:szCs w:val="22"/>
              </w:rPr>
              <w:t xml:space="preserve">aimed at achieving specific global targets in accordance with Save the Children's Global External Engagement Strategy. This role requires close collaboration with policy and advocacy leads, as well as key relationship holders within the organisation, including account holders and corporate partnerships teams, to further Save the Children’s policy, advocacy, and campaign priorities. By fostering effective relationships and leveraging diverse partnerships, the Senior Manager Global Policy will play a crucial role in championing Save the Children's goals and ensuring the realisation </w:t>
            </w:r>
            <w:r w:rsidR="008662C2">
              <w:rPr>
                <w:rFonts w:ascii="Lato" w:hAnsi="Lato"/>
                <w:noProof/>
                <w:color w:val="000000" w:themeColor="text1"/>
                <w:sz w:val="22"/>
                <w:szCs w:val="22"/>
              </w:rPr>
              <w:t xml:space="preserve">and alignment </w:t>
            </w:r>
            <w:r w:rsidRPr="61E02F1F">
              <w:rPr>
                <w:rFonts w:ascii="Lato" w:hAnsi="Lato"/>
                <w:noProof/>
                <w:color w:val="000000" w:themeColor="text1"/>
                <w:sz w:val="22"/>
                <w:szCs w:val="22"/>
              </w:rPr>
              <w:t>of strategic advocacy efforts</w:t>
            </w:r>
            <w:r w:rsidR="008662C2">
              <w:rPr>
                <w:rFonts w:ascii="Lato" w:hAnsi="Lato"/>
                <w:noProof/>
                <w:color w:val="000000" w:themeColor="text1"/>
                <w:sz w:val="22"/>
                <w:szCs w:val="22"/>
              </w:rPr>
              <w:t xml:space="preserve"> and policy positions</w:t>
            </w:r>
            <w:r w:rsidRPr="61E02F1F">
              <w:rPr>
                <w:rFonts w:ascii="Lato" w:hAnsi="Lato"/>
                <w:noProof/>
                <w:color w:val="000000" w:themeColor="text1"/>
                <w:sz w:val="22"/>
                <w:szCs w:val="22"/>
              </w:rPr>
              <w:t>.</w:t>
            </w:r>
            <w:r w:rsidR="20528A80" w:rsidRPr="61E02F1F">
              <w:rPr>
                <w:rFonts w:ascii="Lato" w:hAnsi="Lato"/>
                <w:noProof/>
                <w:color w:val="000000" w:themeColor="text1"/>
                <w:sz w:val="22"/>
                <w:szCs w:val="22"/>
              </w:rPr>
              <w:t xml:space="preserve"> </w:t>
            </w:r>
            <w:r w:rsidR="20528A80" w:rsidRPr="61E02F1F">
              <w:rPr>
                <w:rFonts w:ascii="Lato" w:eastAsia="Lato" w:hAnsi="Lato" w:cs="Lato"/>
                <w:noProof/>
                <w:color w:val="000000" w:themeColor="text1"/>
                <w:sz w:val="22"/>
                <w:szCs w:val="22"/>
              </w:rPr>
              <w:t>This role will play a critical role in bridging and workiong across the I&amp;I, RMCE and OHT functions at the global level to support the external engagement in high risk contexts to ensure consistency in voice, impact and delivery in close collaboration with the respective country office teams.</w:t>
            </w:r>
          </w:p>
        </w:tc>
      </w:tr>
    </w:tbl>
    <w:p w14:paraId="3DEEC669"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61E02F1F">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0FEFD2D1" w14:textId="77777777" w:rsidTr="61E02F1F">
        <w:tc>
          <w:tcPr>
            <w:tcW w:w="10296" w:type="dxa"/>
          </w:tcPr>
          <w:p w14:paraId="48B19737" w14:textId="4AF1F2B8" w:rsidR="00E271DC" w:rsidRPr="00E07B8F" w:rsidRDefault="00E271DC" w:rsidP="61E02F1F">
            <w:pPr>
              <w:pStyle w:val="ListParagraph"/>
              <w:numPr>
                <w:ilvl w:val="0"/>
                <w:numId w:val="5"/>
              </w:numPr>
              <w:rPr>
                <w:rFonts w:ascii="Lato" w:hAnsi="Lato"/>
                <w:noProof/>
                <w:sz w:val="22"/>
                <w:szCs w:val="22"/>
              </w:rPr>
            </w:pPr>
            <w:r w:rsidRPr="61E02F1F">
              <w:rPr>
                <w:rFonts w:ascii="Lato" w:hAnsi="Lato"/>
                <w:noProof/>
                <w:sz w:val="22"/>
                <w:szCs w:val="22"/>
              </w:rPr>
              <w:t xml:space="preserve">Coordinate and drive development and implementation of advocacy strategies </w:t>
            </w:r>
            <w:r w:rsidR="008662C2">
              <w:rPr>
                <w:rFonts w:ascii="Lato" w:hAnsi="Lato"/>
                <w:noProof/>
                <w:sz w:val="22"/>
                <w:szCs w:val="22"/>
              </w:rPr>
              <w:t xml:space="preserve">and global policy positions </w:t>
            </w:r>
            <w:r w:rsidRPr="61E02F1F">
              <w:rPr>
                <w:rFonts w:ascii="Lato" w:hAnsi="Lato"/>
                <w:noProof/>
                <w:sz w:val="22"/>
                <w:szCs w:val="22"/>
              </w:rPr>
              <w:t xml:space="preserve">for specific global targets based on a Global External Engagement Strategy in close collaboration with relevant policy and advocacy leads and key relationship-holders within Save the Children, </w:t>
            </w:r>
            <w:r w:rsidRPr="00E07B8F">
              <w:rPr>
                <w:rFonts w:ascii="Lato" w:hAnsi="Lato"/>
                <w:noProof/>
                <w:sz w:val="22"/>
                <w:szCs w:val="22"/>
              </w:rPr>
              <w:t xml:space="preserve">including account holders and corporate partnerships teams to further Save the Children’s policy, advocacy and campaigns priorities </w:t>
            </w:r>
          </w:p>
          <w:p w14:paraId="3C005AC5" w14:textId="72E3A0A2" w:rsidR="00E07B8F" w:rsidRPr="00E07B8F" w:rsidRDefault="00E07B8F" w:rsidP="61E02F1F">
            <w:pPr>
              <w:pStyle w:val="ListParagraph"/>
              <w:numPr>
                <w:ilvl w:val="0"/>
                <w:numId w:val="5"/>
              </w:numPr>
              <w:rPr>
                <w:rFonts w:ascii="Lato" w:hAnsi="Lato"/>
                <w:noProof/>
                <w:sz w:val="22"/>
                <w:szCs w:val="22"/>
              </w:rPr>
            </w:pPr>
            <w:r w:rsidRPr="003574C1">
              <w:rPr>
                <w:rFonts w:ascii="Lato" w:hAnsi="Lato"/>
                <w:sz w:val="22"/>
                <w:szCs w:val="22"/>
              </w:rPr>
              <w:t>Develop and update policy positions across all thematic areas and contexts that are globally relevant, ensuring consistency across all contexts.  Drive visibility on policy gaps</w:t>
            </w:r>
            <w:r w:rsidR="00DF2E46">
              <w:rPr>
                <w:rFonts w:ascii="Lato" w:hAnsi="Lato"/>
                <w:sz w:val="22"/>
                <w:szCs w:val="22"/>
              </w:rPr>
              <w:t xml:space="preserve"> and updates</w:t>
            </w:r>
            <w:r w:rsidRPr="003574C1">
              <w:rPr>
                <w:rFonts w:ascii="Lato" w:hAnsi="Lato"/>
                <w:sz w:val="22"/>
                <w:szCs w:val="22"/>
              </w:rPr>
              <w:t>.</w:t>
            </w:r>
          </w:p>
          <w:p w14:paraId="0E93E53B" w14:textId="078E2159" w:rsidR="00E271DC" w:rsidRPr="003519F9" w:rsidRDefault="00E271DC" w:rsidP="61E02F1F">
            <w:pPr>
              <w:pStyle w:val="ListParagraph"/>
              <w:numPr>
                <w:ilvl w:val="0"/>
                <w:numId w:val="5"/>
              </w:numPr>
              <w:rPr>
                <w:rFonts w:ascii="Lato" w:hAnsi="Lato"/>
                <w:noProof/>
                <w:sz w:val="22"/>
                <w:szCs w:val="22"/>
              </w:rPr>
            </w:pPr>
            <w:r w:rsidRPr="61E02F1F">
              <w:rPr>
                <w:rFonts w:ascii="Lato" w:hAnsi="Lato"/>
                <w:noProof/>
                <w:sz w:val="22"/>
                <w:szCs w:val="22"/>
              </w:rPr>
              <w:t>Contribute to building Save the Children’s reputation with global influencers and thought leaders as relevant in collaboration with relevant policy and advocacy leads and ensuring synergies with the Global External Engagement Strategy</w:t>
            </w:r>
          </w:p>
          <w:p w14:paraId="3D5621AA" w14:textId="5BBF04DB" w:rsidR="00E271DC" w:rsidRPr="003519F9" w:rsidRDefault="00E271DC" w:rsidP="61E02F1F">
            <w:pPr>
              <w:pStyle w:val="ListParagraph"/>
              <w:numPr>
                <w:ilvl w:val="0"/>
                <w:numId w:val="5"/>
              </w:numPr>
              <w:rPr>
                <w:rFonts w:ascii="Lato" w:hAnsi="Lato"/>
                <w:noProof/>
                <w:sz w:val="22"/>
                <w:szCs w:val="22"/>
              </w:rPr>
            </w:pPr>
            <w:r w:rsidRPr="61E02F1F">
              <w:rPr>
                <w:rFonts w:ascii="Lato" w:hAnsi="Lato"/>
                <w:noProof/>
                <w:sz w:val="22"/>
                <w:szCs w:val="22"/>
              </w:rPr>
              <w:t xml:space="preserve">Coordinate the development and implementation of  specific cross-cutting advocacy strategies </w:t>
            </w:r>
            <w:r w:rsidR="008662C2">
              <w:rPr>
                <w:rFonts w:ascii="Lato" w:hAnsi="Lato"/>
                <w:noProof/>
                <w:sz w:val="22"/>
                <w:szCs w:val="22"/>
              </w:rPr>
              <w:t xml:space="preserve">and global policy positions </w:t>
            </w:r>
            <w:r w:rsidRPr="61E02F1F">
              <w:rPr>
                <w:rFonts w:ascii="Lato" w:hAnsi="Lato"/>
                <w:noProof/>
                <w:sz w:val="22"/>
                <w:szCs w:val="22"/>
              </w:rPr>
              <w:t>as necessary to deliver our organisational priorities and key messages</w:t>
            </w:r>
          </w:p>
          <w:p w14:paraId="1E2DECC4" w14:textId="29E3B585" w:rsidR="00E271DC" w:rsidRPr="003519F9" w:rsidRDefault="00E271DC" w:rsidP="61E02F1F">
            <w:pPr>
              <w:pStyle w:val="ListParagraph"/>
              <w:numPr>
                <w:ilvl w:val="0"/>
                <w:numId w:val="5"/>
              </w:numPr>
              <w:rPr>
                <w:rFonts w:ascii="Lato" w:hAnsi="Lato"/>
                <w:noProof/>
                <w:sz w:val="22"/>
                <w:szCs w:val="22"/>
              </w:rPr>
            </w:pPr>
            <w:r w:rsidRPr="61E02F1F">
              <w:rPr>
                <w:rFonts w:ascii="Lato" w:hAnsi="Lato"/>
                <w:noProof/>
                <w:sz w:val="22"/>
                <w:szCs w:val="22"/>
              </w:rPr>
              <w:t>Contribute to the development and implementation of different advocacy tools and approaches, i.e. Speaking Out and Strategic Litigation</w:t>
            </w:r>
          </w:p>
          <w:p w14:paraId="0079C3BA" w14:textId="7040F851" w:rsidR="00E07B8F" w:rsidRPr="003574C1" w:rsidRDefault="00E271DC" w:rsidP="00E07B8F">
            <w:pPr>
              <w:pStyle w:val="ListParagraph"/>
              <w:numPr>
                <w:ilvl w:val="0"/>
                <w:numId w:val="5"/>
              </w:numPr>
              <w:rPr>
                <w:rFonts w:ascii="Lato" w:hAnsi="Lato"/>
                <w:noProof/>
                <w:sz w:val="22"/>
                <w:szCs w:val="22"/>
              </w:rPr>
            </w:pPr>
            <w:r w:rsidRPr="61E02F1F">
              <w:rPr>
                <w:rFonts w:ascii="Lato" w:hAnsi="Lato"/>
                <w:noProof/>
                <w:sz w:val="22"/>
                <w:szCs w:val="22"/>
              </w:rPr>
              <w:t>Coordinate and manage SC's global policy work, in collaboration with colleagues across the Movement</w:t>
            </w:r>
          </w:p>
          <w:p w14:paraId="3656B9AB" w14:textId="73EBAE6A" w:rsidR="00DA0123" w:rsidRPr="005E601E" w:rsidRDefault="7FDF2DB6" w:rsidP="61E02F1F">
            <w:pPr>
              <w:pStyle w:val="ListParagraph"/>
              <w:numPr>
                <w:ilvl w:val="0"/>
                <w:numId w:val="5"/>
              </w:numPr>
              <w:rPr>
                <w:rFonts w:ascii="Lato" w:eastAsia="Lato" w:hAnsi="Lato" w:cs="Lato"/>
                <w:noProof/>
                <w:sz w:val="22"/>
                <w:szCs w:val="22"/>
              </w:rPr>
            </w:pPr>
            <w:r w:rsidRPr="61E02F1F">
              <w:rPr>
                <w:rFonts w:ascii="Lato" w:eastAsia="Lato" w:hAnsi="Lato" w:cs="Lato"/>
                <w:noProof/>
                <w:sz w:val="22"/>
                <w:szCs w:val="22"/>
              </w:rPr>
              <w:lastRenderedPageBreak/>
              <w:t>Coordinate the external engagement in high risk contexts across global functions to ensure support to the respective country offices and with members where needed.</w:t>
            </w:r>
          </w:p>
        </w:tc>
      </w:tr>
    </w:tbl>
    <w:p w14:paraId="45FB0818"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61E02F1F">
        <w:tc>
          <w:tcPr>
            <w:tcW w:w="10296" w:type="dxa"/>
            <w:shd w:val="clear" w:color="auto" w:fill="D5E0E1"/>
          </w:tcPr>
          <w:p w14:paraId="7584723A" w14:textId="77777777" w:rsidR="00B42C23" w:rsidRPr="005E601E" w:rsidRDefault="00B42C23" w:rsidP="61E02F1F">
            <w:pPr>
              <w:rPr>
                <w:rFonts w:ascii="Lato" w:hAnsi="Lato"/>
                <w:b/>
                <w:bCs/>
                <w:sz w:val="22"/>
                <w:szCs w:val="22"/>
              </w:rPr>
            </w:pPr>
            <w:r w:rsidRPr="61E02F1F">
              <w:rPr>
                <w:rFonts w:ascii="Lato" w:hAnsi="Lato"/>
                <w:b/>
                <w:bCs/>
                <w:sz w:val="22"/>
                <w:szCs w:val="22"/>
              </w:rPr>
              <w:t>Budget</w:t>
            </w:r>
          </w:p>
        </w:tc>
      </w:tr>
      <w:tr w:rsidR="00B42C23" w:rsidRPr="005E601E" w14:paraId="049F31CB" w14:textId="77777777" w:rsidTr="61E02F1F">
        <w:tc>
          <w:tcPr>
            <w:tcW w:w="10296" w:type="dxa"/>
          </w:tcPr>
          <w:p w14:paraId="53128261" w14:textId="77777777" w:rsidR="00B42C23" w:rsidRPr="00B42C23" w:rsidRDefault="00B42C23" w:rsidP="00033EB6">
            <w:pPr>
              <w:rPr>
                <w:rFonts w:ascii="Lato" w:hAnsi="Lato"/>
                <w:bCs/>
                <w:sz w:val="22"/>
                <w:szCs w:val="22"/>
              </w:rPr>
            </w:pPr>
          </w:p>
        </w:tc>
      </w:tr>
    </w:tbl>
    <w:p w14:paraId="62486C05"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649F6C3" w14:textId="77777777" w:rsidTr="00033EB6">
        <w:tc>
          <w:tcPr>
            <w:tcW w:w="10296" w:type="dxa"/>
          </w:tcPr>
          <w:p w14:paraId="002B3422"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E271DC" w:rsidRPr="003519F9">
              <w:rPr>
                <w:rFonts w:ascii="Lato" w:hAnsi="Lato"/>
                <w:bCs/>
                <w:noProof/>
                <w:sz w:val="22"/>
                <w:szCs w:val="22"/>
              </w:rPr>
              <w:t>0</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E271DC" w:rsidRPr="003519F9">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E271DC" w:rsidRPr="003519F9">
              <w:rPr>
                <w:rFonts w:ascii="Lato" w:hAnsi="Lato"/>
                <w:bCs/>
                <w:noProof/>
                <w:sz w:val="22"/>
                <w:szCs w:val="22"/>
              </w:rPr>
              <w:t>No</w:t>
            </w:r>
          </w:p>
        </w:tc>
      </w:tr>
    </w:tbl>
    <w:p w14:paraId="4101652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E271DC" w:rsidP="00033EB6">
            <w:pPr>
              <w:rPr>
                <w:rFonts w:ascii="Lato" w:hAnsi="Lato"/>
                <w:bCs/>
                <w:sz w:val="22"/>
                <w:szCs w:val="22"/>
              </w:rPr>
            </w:pPr>
            <w:r w:rsidRPr="003519F9">
              <w:rPr>
                <w:rFonts w:ascii="Lato" w:hAnsi="Lato"/>
                <w:bCs/>
                <w:noProof/>
                <w:sz w:val="22"/>
                <w:szCs w:val="22"/>
              </w:rPr>
              <w:t>Global</w:t>
            </w:r>
          </w:p>
        </w:tc>
      </w:tr>
    </w:tbl>
    <w:p w14:paraId="4B99056E"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5E52AE5"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E271DC" w:rsidRPr="003519F9">
              <w:rPr>
                <w:rFonts w:ascii="Lato" w:hAnsi="Lato"/>
                <w:bCs/>
                <w:noProof/>
                <w:sz w:val="22"/>
                <w:szCs w:val="22"/>
              </w:rPr>
              <w:t>Yes</w:t>
            </w:r>
          </w:p>
          <w:p w14:paraId="1299C43A" w14:textId="77777777" w:rsidR="008F7976" w:rsidRDefault="008F7976" w:rsidP="008F7976">
            <w:pPr>
              <w:rPr>
                <w:rFonts w:ascii="Lato" w:hAnsi="Lato"/>
                <w:bCs/>
                <w:sz w:val="22"/>
                <w:szCs w:val="22"/>
              </w:rPr>
            </w:pPr>
          </w:p>
          <w:p w14:paraId="258C7FAC"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E271DC" w:rsidRPr="003519F9">
              <w:rPr>
                <w:rFonts w:ascii="Lato" w:hAnsi="Lato"/>
                <w:bCs/>
                <w:noProof/>
                <w:sz w:val="22"/>
                <w:szCs w:val="22"/>
              </w:rPr>
              <w:t>Up to 20%</w:t>
            </w:r>
          </w:p>
          <w:p w14:paraId="4DDBEF00" w14:textId="77777777" w:rsidR="008F7976" w:rsidRPr="00B42C23" w:rsidRDefault="008F7976" w:rsidP="00033EB6">
            <w:pPr>
              <w:rPr>
                <w:rFonts w:ascii="Lato" w:hAnsi="Lato"/>
                <w:bCs/>
                <w:sz w:val="22"/>
                <w:szCs w:val="22"/>
              </w:rPr>
            </w:pPr>
          </w:p>
        </w:tc>
      </w:tr>
    </w:tbl>
    <w:p w14:paraId="3461D779"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771D5593">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142C4BB8" w14:textId="77777777" w:rsidTr="771D5593">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3CF2D8B6" w14:textId="77777777" w:rsidR="002E64D8" w:rsidRDefault="002E64D8" w:rsidP="00033EB6">
            <w:pPr>
              <w:rPr>
                <w:rFonts w:ascii="Lato" w:hAnsi="Lato"/>
                <w:b/>
                <w:sz w:val="22"/>
                <w:szCs w:val="22"/>
              </w:rPr>
            </w:pPr>
          </w:p>
          <w:p w14:paraId="5E9D851B" w14:textId="77777777" w:rsidR="00E271DC" w:rsidRPr="003519F9" w:rsidRDefault="00E271DC" w:rsidP="771D5593">
            <w:pPr>
              <w:pStyle w:val="ListParagraph"/>
              <w:numPr>
                <w:ilvl w:val="0"/>
                <w:numId w:val="9"/>
              </w:numPr>
              <w:rPr>
                <w:rFonts w:ascii="Lato" w:hAnsi="Lato"/>
                <w:noProof/>
                <w:sz w:val="22"/>
                <w:szCs w:val="22"/>
              </w:rPr>
            </w:pPr>
            <w:r w:rsidRPr="771D5593">
              <w:rPr>
                <w:rFonts w:ascii="Lato" w:hAnsi="Lato"/>
                <w:noProof/>
                <w:sz w:val="22"/>
                <w:szCs w:val="22"/>
              </w:rPr>
              <w:t>Policy and Advocacy Leads: These individuals are critical in the development and alignment of advocacy strategies.</w:t>
            </w:r>
          </w:p>
          <w:p w14:paraId="4BE8A09B" w14:textId="77777777" w:rsidR="00E271DC" w:rsidRPr="003519F9" w:rsidRDefault="00E271DC" w:rsidP="771D5593">
            <w:pPr>
              <w:pStyle w:val="ListParagraph"/>
              <w:numPr>
                <w:ilvl w:val="0"/>
                <w:numId w:val="9"/>
              </w:numPr>
              <w:rPr>
                <w:rFonts w:ascii="Lato" w:hAnsi="Lato"/>
                <w:noProof/>
                <w:sz w:val="22"/>
                <w:szCs w:val="22"/>
              </w:rPr>
            </w:pPr>
            <w:r w:rsidRPr="771D5593">
              <w:rPr>
                <w:rFonts w:ascii="Lato" w:hAnsi="Lato"/>
                <w:noProof/>
                <w:sz w:val="22"/>
                <w:szCs w:val="22"/>
              </w:rPr>
              <w:t>Key Relationship Holders: Within the organisation, these could include board members, senior leadership, and other stakeholders in various departments working towards the same advocacy goals.</w:t>
            </w:r>
          </w:p>
          <w:p w14:paraId="7A74F327" w14:textId="77777777" w:rsidR="00E271DC" w:rsidRPr="003519F9" w:rsidRDefault="00E271DC" w:rsidP="771D5593">
            <w:pPr>
              <w:pStyle w:val="ListParagraph"/>
              <w:numPr>
                <w:ilvl w:val="0"/>
                <w:numId w:val="9"/>
              </w:numPr>
              <w:rPr>
                <w:rFonts w:ascii="Lato" w:hAnsi="Lato"/>
                <w:noProof/>
                <w:sz w:val="22"/>
                <w:szCs w:val="22"/>
              </w:rPr>
            </w:pPr>
            <w:r w:rsidRPr="771D5593">
              <w:rPr>
                <w:rFonts w:ascii="Lato" w:hAnsi="Lato"/>
                <w:noProof/>
                <w:sz w:val="22"/>
                <w:szCs w:val="22"/>
              </w:rPr>
              <w:t>Account Holders: Specifically those who manage important organisational accounts that align with policy and advocacy efforts.</w:t>
            </w:r>
          </w:p>
          <w:p w14:paraId="4A430DD3" w14:textId="77777777" w:rsidR="00E271DC" w:rsidRPr="003519F9" w:rsidRDefault="00E271DC" w:rsidP="771D5593">
            <w:pPr>
              <w:pStyle w:val="ListParagraph"/>
              <w:numPr>
                <w:ilvl w:val="0"/>
                <w:numId w:val="9"/>
              </w:numPr>
              <w:rPr>
                <w:rFonts w:ascii="Lato" w:hAnsi="Lato"/>
                <w:noProof/>
                <w:sz w:val="22"/>
                <w:szCs w:val="22"/>
              </w:rPr>
            </w:pPr>
            <w:r w:rsidRPr="771D5593">
              <w:rPr>
                <w:rFonts w:ascii="Lato" w:hAnsi="Lato"/>
                <w:noProof/>
                <w:sz w:val="22"/>
                <w:szCs w:val="22"/>
              </w:rPr>
              <w:t>Corporate Partnerships Teams: Collaboration with these teams is necessary to leverage corporate partnerships for advancing advocacy and campaign priorities.</w:t>
            </w:r>
          </w:p>
          <w:p w14:paraId="65ED1600" w14:textId="77777777" w:rsidR="00E271DC" w:rsidRPr="003519F9" w:rsidRDefault="00E271DC" w:rsidP="771D5593">
            <w:pPr>
              <w:pStyle w:val="ListParagraph"/>
              <w:numPr>
                <w:ilvl w:val="0"/>
                <w:numId w:val="9"/>
              </w:numPr>
              <w:rPr>
                <w:rFonts w:ascii="Lato" w:hAnsi="Lato"/>
                <w:noProof/>
                <w:sz w:val="22"/>
                <w:szCs w:val="22"/>
              </w:rPr>
            </w:pPr>
            <w:r w:rsidRPr="771D5593">
              <w:rPr>
                <w:rFonts w:ascii="Lato" w:hAnsi="Lato"/>
                <w:noProof/>
                <w:sz w:val="22"/>
                <w:szCs w:val="22"/>
              </w:rPr>
              <w:t>Communications and Campaign Teams: Essential for coordinating messaging and ensuring consistent and impactful communication.</w:t>
            </w:r>
          </w:p>
          <w:p w14:paraId="4D7A4C53" w14:textId="77777777" w:rsidR="002E64D8" w:rsidRDefault="00E271DC" w:rsidP="771D5593">
            <w:pPr>
              <w:pStyle w:val="ListParagraph"/>
              <w:numPr>
                <w:ilvl w:val="0"/>
                <w:numId w:val="9"/>
              </w:numPr>
              <w:rPr>
                <w:rFonts w:ascii="Lato" w:hAnsi="Lato"/>
                <w:sz w:val="22"/>
                <w:szCs w:val="22"/>
              </w:rPr>
            </w:pPr>
            <w:r w:rsidRPr="771D5593">
              <w:rPr>
                <w:rFonts w:ascii="Lato" w:hAnsi="Lato"/>
                <w:noProof/>
                <w:sz w:val="22"/>
                <w:szCs w:val="22"/>
              </w:rPr>
              <w:t>Program Development and Implementation Teams: These teams are vital for ensuring that advocacy goals are practical and align with on-the-ground program activities.</w:t>
            </w:r>
          </w:p>
          <w:p w14:paraId="0FB78278"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1FC39945" w14:textId="77777777" w:rsidR="002E64D8" w:rsidRDefault="002E64D8" w:rsidP="00033EB6">
            <w:pPr>
              <w:rPr>
                <w:rFonts w:ascii="Lato" w:hAnsi="Lato"/>
                <w:b/>
                <w:sz w:val="22"/>
                <w:szCs w:val="22"/>
              </w:rPr>
            </w:pPr>
          </w:p>
          <w:p w14:paraId="169A4B1C" w14:textId="77777777" w:rsidR="00E271DC" w:rsidRPr="003519F9" w:rsidRDefault="00E271DC" w:rsidP="771D5593">
            <w:pPr>
              <w:pStyle w:val="ListParagraph"/>
              <w:numPr>
                <w:ilvl w:val="0"/>
                <w:numId w:val="8"/>
              </w:numPr>
              <w:rPr>
                <w:rFonts w:ascii="Lato" w:hAnsi="Lato"/>
                <w:noProof/>
                <w:sz w:val="22"/>
                <w:szCs w:val="22"/>
              </w:rPr>
            </w:pPr>
            <w:r w:rsidRPr="771D5593">
              <w:rPr>
                <w:rFonts w:ascii="Lato" w:hAnsi="Lato"/>
                <w:noProof/>
                <w:sz w:val="22"/>
                <w:szCs w:val="22"/>
              </w:rPr>
              <w:t>International NGOs and Advocacy Groups: Collaboration with other non-governmental organizations can amplify the impact of advocacy efforts and enable collective action on global issues.</w:t>
            </w:r>
          </w:p>
          <w:p w14:paraId="5A7549D4" w14:textId="77777777" w:rsidR="00E271DC" w:rsidRPr="003519F9" w:rsidRDefault="00E271DC" w:rsidP="771D5593">
            <w:pPr>
              <w:pStyle w:val="ListParagraph"/>
              <w:numPr>
                <w:ilvl w:val="0"/>
                <w:numId w:val="8"/>
              </w:numPr>
              <w:rPr>
                <w:rFonts w:ascii="Lato" w:hAnsi="Lato"/>
                <w:noProof/>
                <w:sz w:val="22"/>
                <w:szCs w:val="22"/>
              </w:rPr>
            </w:pPr>
            <w:r w:rsidRPr="771D5593">
              <w:rPr>
                <w:rFonts w:ascii="Lato" w:hAnsi="Lato"/>
                <w:noProof/>
                <w:sz w:val="22"/>
                <w:szCs w:val="22"/>
              </w:rPr>
              <w:t>Government Agencies and Policy Makers: Engaging with officials and decision-makers to influence policy changes and ensure alignment with Save the Children's advocacy goals.</w:t>
            </w:r>
          </w:p>
          <w:p w14:paraId="32C13748" w14:textId="77777777" w:rsidR="00E271DC" w:rsidRPr="003519F9" w:rsidRDefault="00E271DC" w:rsidP="771D5593">
            <w:pPr>
              <w:pStyle w:val="ListParagraph"/>
              <w:numPr>
                <w:ilvl w:val="0"/>
                <w:numId w:val="8"/>
              </w:numPr>
              <w:rPr>
                <w:rFonts w:ascii="Lato" w:hAnsi="Lato"/>
                <w:noProof/>
                <w:sz w:val="22"/>
                <w:szCs w:val="22"/>
              </w:rPr>
            </w:pPr>
            <w:r w:rsidRPr="771D5593">
              <w:rPr>
                <w:rFonts w:ascii="Lato" w:hAnsi="Lato"/>
                <w:noProof/>
                <w:sz w:val="22"/>
                <w:szCs w:val="22"/>
              </w:rPr>
              <w:t>United Nations Agencies and Multilateral Organizations: Partnerships with entities such as UNICEF, WHO, and other UN bodies involved in child welfare and development initiatives.</w:t>
            </w:r>
          </w:p>
          <w:p w14:paraId="073A4944" w14:textId="77777777" w:rsidR="00E271DC" w:rsidRPr="003519F9" w:rsidRDefault="00E271DC" w:rsidP="771D5593">
            <w:pPr>
              <w:pStyle w:val="ListParagraph"/>
              <w:numPr>
                <w:ilvl w:val="0"/>
                <w:numId w:val="8"/>
              </w:numPr>
              <w:rPr>
                <w:rFonts w:ascii="Lato" w:hAnsi="Lato"/>
                <w:noProof/>
                <w:sz w:val="22"/>
                <w:szCs w:val="22"/>
              </w:rPr>
            </w:pPr>
            <w:r w:rsidRPr="771D5593">
              <w:rPr>
                <w:rFonts w:ascii="Lato" w:hAnsi="Lato"/>
                <w:noProof/>
                <w:sz w:val="22"/>
                <w:szCs w:val="22"/>
              </w:rPr>
              <w:t>Corporate Partners: Establishing and maintaining relationships with companies that can provide funding, support, and visibility to advocacy campaigns.</w:t>
            </w:r>
          </w:p>
          <w:p w14:paraId="2DED2434" w14:textId="77777777" w:rsidR="00E271DC" w:rsidRPr="003519F9" w:rsidRDefault="00E271DC" w:rsidP="771D5593">
            <w:pPr>
              <w:pStyle w:val="ListParagraph"/>
              <w:numPr>
                <w:ilvl w:val="0"/>
                <w:numId w:val="8"/>
              </w:numPr>
              <w:rPr>
                <w:rFonts w:ascii="Lato" w:hAnsi="Lato"/>
                <w:noProof/>
                <w:sz w:val="22"/>
                <w:szCs w:val="22"/>
              </w:rPr>
            </w:pPr>
            <w:r w:rsidRPr="771D5593">
              <w:rPr>
                <w:rFonts w:ascii="Lato" w:hAnsi="Lato"/>
                <w:noProof/>
                <w:sz w:val="22"/>
                <w:szCs w:val="22"/>
              </w:rPr>
              <w:t>Academic and Research Institutions: Working with these institutions can provide evidence-based support for advocacy initiatives and help shape policy recommendations.</w:t>
            </w:r>
          </w:p>
          <w:p w14:paraId="08DAC695" w14:textId="77777777" w:rsidR="00E271DC" w:rsidRPr="003519F9" w:rsidRDefault="00E271DC" w:rsidP="771D5593">
            <w:pPr>
              <w:pStyle w:val="ListParagraph"/>
              <w:numPr>
                <w:ilvl w:val="0"/>
                <w:numId w:val="8"/>
              </w:numPr>
              <w:rPr>
                <w:rFonts w:ascii="Lato" w:hAnsi="Lato"/>
                <w:noProof/>
                <w:sz w:val="22"/>
                <w:szCs w:val="22"/>
              </w:rPr>
            </w:pPr>
            <w:r w:rsidRPr="771D5593">
              <w:rPr>
                <w:rFonts w:ascii="Lato" w:hAnsi="Lato"/>
                <w:noProof/>
                <w:sz w:val="22"/>
                <w:szCs w:val="22"/>
              </w:rPr>
              <w:t>Media and Press: Developing strong relationships with media outlets to ensure wide coverage and public awareness of advocacy efforts.</w:t>
            </w:r>
          </w:p>
          <w:p w14:paraId="12E9673E" w14:textId="77777777" w:rsidR="00E271DC" w:rsidRPr="003519F9" w:rsidRDefault="00E271DC" w:rsidP="771D5593">
            <w:pPr>
              <w:pStyle w:val="ListParagraph"/>
              <w:numPr>
                <w:ilvl w:val="0"/>
                <w:numId w:val="8"/>
              </w:numPr>
              <w:rPr>
                <w:rFonts w:ascii="Lato" w:hAnsi="Lato"/>
                <w:noProof/>
                <w:sz w:val="22"/>
                <w:szCs w:val="22"/>
              </w:rPr>
            </w:pPr>
            <w:r w:rsidRPr="771D5593">
              <w:rPr>
                <w:rFonts w:ascii="Lato" w:hAnsi="Lato"/>
                <w:noProof/>
                <w:sz w:val="22"/>
                <w:szCs w:val="22"/>
              </w:rPr>
              <w:t>Community Leaders and Civil Society Organizations: Engaging local leaders and grassroots organizations to build support from the ground up and ensure initiatives are relevant and impactful.</w:t>
            </w:r>
          </w:p>
          <w:p w14:paraId="103E00D4" w14:textId="77777777" w:rsidR="002E64D8" w:rsidRPr="002E64D8" w:rsidRDefault="00E271DC" w:rsidP="771D5593">
            <w:pPr>
              <w:pStyle w:val="ListParagraph"/>
              <w:numPr>
                <w:ilvl w:val="0"/>
                <w:numId w:val="8"/>
              </w:numPr>
              <w:rPr>
                <w:rFonts w:ascii="Lato" w:hAnsi="Lato"/>
                <w:sz w:val="22"/>
                <w:szCs w:val="22"/>
              </w:rPr>
            </w:pPr>
            <w:r w:rsidRPr="771D5593">
              <w:rPr>
                <w:rFonts w:ascii="Lato" w:hAnsi="Lato"/>
                <w:noProof/>
                <w:sz w:val="22"/>
                <w:szCs w:val="22"/>
              </w:rPr>
              <w:lastRenderedPageBreak/>
              <w:t>Donors and Philanthropic Organizations: Cultivating relationships with donors who are committed to the mission of Save the Children and can support advocacy and policy initiatives financially.</w:t>
            </w:r>
          </w:p>
        </w:tc>
      </w:tr>
    </w:tbl>
    <w:p w14:paraId="0562CB0E"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771D5593">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292A297D" w14:textId="77777777" w:rsidTr="771D5593">
        <w:trPr>
          <w:trHeight w:val="854"/>
        </w:trPr>
        <w:tc>
          <w:tcPr>
            <w:tcW w:w="10296" w:type="dxa"/>
          </w:tcPr>
          <w:p w14:paraId="08875DC4" w14:textId="77777777" w:rsidR="00E271DC" w:rsidRPr="003519F9" w:rsidRDefault="00E271DC" w:rsidP="00C715DD">
            <w:pPr>
              <w:rPr>
                <w:rFonts w:ascii="Lato" w:hAnsi="Lato"/>
                <w:bCs/>
                <w:noProof/>
                <w:sz w:val="22"/>
                <w:szCs w:val="22"/>
              </w:rPr>
            </w:pPr>
            <w:r w:rsidRPr="003519F9">
              <w:rPr>
                <w:rFonts w:ascii="Lato" w:hAnsi="Lato"/>
                <w:bCs/>
                <w:noProof/>
                <w:sz w:val="22"/>
                <w:szCs w:val="22"/>
              </w:rPr>
              <w:t>Cluster: Leading</w:t>
            </w:r>
          </w:p>
          <w:p w14:paraId="07BE272C" w14:textId="77777777" w:rsidR="00E271DC" w:rsidRPr="003519F9" w:rsidRDefault="00E271DC" w:rsidP="00C715DD">
            <w:pPr>
              <w:rPr>
                <w:rFonts w:ascii="Lato" w:hAnsi="Lato"/>
                <w:bCs/>
                <w:noProof/>
                <w:sz w:val="22"/>
                <w:szCs w:val="22"/>
              </w:rPr>
            </w:pPr>
            <w:r w:rsidRPr="003519F9">
              <w:rPr>
                <w:rFonts w:ascii="Lato" w:hAnsi="Lato"/>
                <w:bCs/>
                <w:noProof/>
                <w:sz w:val="22"/>
                <w:szCs w:val="22"/>
              </w:rPr>
              <w:t>Competency: Leading and Inspiring Others</w:t>
            </w:r>
          </w:p>
          <w:p w14:paraId="6E85EB22" w14:textId="77777777" w:rsidR="00E271DC" w:rsidRPr="003519F9" w:rsidRDefault="00E271DC" w:rsidP="00C715DD">
            <w:pPr>
              <w:rPr>
                <w:rFonts w:ascii="Lato" w:hAnsi="Lato"/>
                <w:bCs/>
                <w:noProof/>
                <w:sz w:val="22"/>
                <w:szCs w:val="22"/>
              </w:rPr>
            </w:pPr>
            <w:r w:rsidRPr="003519F9">
              <w:rPr>
                <w:rFonts w:ascii="Lato" w:hAnsi="Lato"/>
                <w:bCs/>
                <w:noProof/>
                <w:sz w:val="22"/>
                <w:szCs w:val="22"/>
              </w:rPr>
              <w:t>Level: Leading Edge</w:t>
            </w:r>
          </w:p>
          <w:p w14:paraId="0809A23F" w14:textId="77777777" w:rsidR="00E271DC" w:rsidRPr="003519F9" w:rsidRDefault="00E271DC" w:rsidP="771D5593">
            <w:pPr>
              <w:rPr>
                <w:rFonts w:ascii="Lato" w:hAnsi="Lato"/>
                <w:noProof/>
                <w:sz w:val="22"/>
                <w:szCs w:val="22"/>
              </w:rPr>
            </w:pPr>
            <w:r w:rsidRPr="771D5593">
              <w:rPr>
                <w:rFonts w:ascii="Lato" w:hAnsi="Lato"/>
                <w:noProof/>
                <w:sz w:val="22"/>
                <w:szCs w:val="22"/>
              </w:rPr>
              <w:t>Behavioural Indicator: Inspires people to reach the highest standards of performance and to feel a sense of pride in belonging to the organisation.</w:t>
            </w:r>
          </w:p>
          <w:p w14:paraId="340267A0" w14:textId="0313CDC1" w:rsidR="771D5593" w:rsidRDefault="771D5593" w:rsidP="771D5593">
            <w:pPr>
              <w:rPr>
                <w:rFonts w:ascii="Lato" w:hAnsi="Lato"/>
                <w:noProof/>
                <w:sz w:val="22"/>
                <w:szCs w:val="22"/>
              </w:rPr>
            </w:pPr>
          </w:p>
          <w:p w14:paraId="64D61655" w14:textId="77777777" w:rsidR="00E271DC" w:rsidRPr="003519F9" w:rsidRDefault="00E271DC" w:rsidP="00C715DD">
            <w:pPr>
              <w:rPr>
                <w:rFonts w:ascii="Lato" w:hAnsi="Lato"/>
                <w:bCs/>
                <w:noProof/>
                <w:sz w:val="22"/>
                <w:szCs w:val="22"/>
              </w:rPr>
            </w:pPr>
            <w:r w:rsidRPr="003519F9">
              <w:rPr>
                <w:rFonts w:ascii="Lato" w:hAnsi="Lato"/>
                <w:bCs/>
                <w:noProof/>
                <w:sz w:val="22"/>
                <w:szCs w:val="22"/>
              </w:rPr>
              <w:t>Cluster: Leading</w:t>
            </w:r>
          </w:p>
          <w:p w14:paraId="0E9AF45B" w14:textId="77777777" w:rsidR="00E271DC" w:rsidRPr="003519F9" w:rsidRDefault="00E271DC" w:rsidP="00C715DD">
            <w:pPr>
              <w:rPr>
                <w:rFonts w:ascii="Lato" w:hAnsi="Lato"/>
                <w:bCs/>
                <w:noProof/>
                <w:sz w:val="22"/>
                <w:szCs w:val="22"/>
              </w:rPr>
            </w:pPr>
            <w:r w:rsidRPr="003519F9">
              <w:rPr>
                <w:rFonts w:ascii="Lato" w:hAnsi="Lato"/>
                <w:bCs/>
                <w:noProof/>
                <w:sz w:val="22"/>
                <w:szCs w:val="22"/>
              </w:rPr>
              <w:t>Competency: Delivering Results</w:t>
            </w:r>
          </w:p>
          <w:p w14:paraId="1B9B1F2F" w14:textId="77777777" w:rsidR="00E271DC" w:rsidRPr="003519F9" w:rsidRDefault="00E271DC" w:rsidP="00C715DD">
            <w:pPr>
              <w:rPr>
                <w:rFonts w:ascii="Lato" w:hAnsi="Lato"/>
                <w:bCs/>
                <w:noProof/>
                <w:sz w:val="22"/>
                <w:szCs w:val="22"/>
              </w:rPr>
            </w:pPr>
            <w:r w:rsidRPr="003519F9">
              <w:rPr>
                <w:rFonts w:ascii="Lato" w:hAnsi="Lato"/>
                <w:bCs/>
                <w:noProof/>
                <w:sz w:val="22"/>
                <w:szCs w:val="22"/>
              </w:rPr>
              <w:t>Level: Leading Edge</w:t>
            </w:r>
          </w:p>
          <w:p w14:paraId="0AC2ECDE" w14:textId="77777777" w:rsidR="00E271DC" w:rsidRPr="003519F9" w:rsidRDefault="00E271DC" w:rsidP="771D5593">
            <w:pPr>
              <w:rPr>
                <w:rFonts w:ascii="Lato" w:hAnsi="Lato"/>
                <w:noProof/>
                <w:sz w:val="22"/>
                <w:szCs w:val="22"/>
              </w:rPr>
            </w:pPr>
            <w:r w:rsidRPr="771D5593">
              <w:rPr>
                <w:rFonts w:ascii="Lato" w:hAnsi="Lato"/>
                <w:noProof/>
                <w:sz w:val="22"/>
                <w:szCs w:val="22"/>
              </w:rPr>
              <w:t>Behavioural Indicator: Provides resources and removes obstacles to support cross-organisational and/or geographically dispersed teams.</w:t>
            </w:r>
          </w:p>
          <w:p w14:paraId="3CA3E995" w14:textId="60CC1C8B" w:rsidR="771D5593" w:rsidRDefault="771D5593" w:rsidP="771D5593">
            <w:pPr>
              <w:rPr>
                <w:rFonts w:ascii="Lato" w:hAnsi="Lato"/>
                <w:noProof/>
                <w:sz w:val="22"/>
                <w:szCs w:val="22"/>
              </w:rPr>
            </w:pPr>
          </w:p>
          <w:p w14:paraId="12CD0909" w14:textId="77777777" w:rsidR="00E271DC" w:rsidRPr="003519F9" w:rsidRDefault="00E271DC" w:rsidP="00C715DD">
            <w:pPr>
              <w:rPr>
                <w:rFonts w:ascii="Lato" w:hAnsi="Lato"/>
                <w:bCs/>
                <w:noProof/>
                <w:sz w:val="22"/>
                <w:szCs w:val="22"/>
              </w:rPr>
            </w:pPr>
            <w:r w:rsidRPr="003519F9">
              <w:rPr>
                <w:rFonts w:ascii="Lato" w:hAnsi="Lato"/>
                <w:bCs/>
                <w:noProof/>
                <w:sz w:val="22"/>
                <w:szCs w:val="22"/>
              </w:rPr>
              <w:t>Cluster: Thinking</w:t>
            </w:r>
          </w:p>
          <w:p w14:paraId="69219905" w14:textId="77777777" w:rsidR="00E271DC" w:rsidRPr="003519F9" w:rsidRDefault="00E271DC" w:rsidP="00C715DD">
            <w:pPr>
              <w:rPr>
                <w:rFonts w:ascii="Lato" w:hAnsi="Lato"/>
                <w:bCs/>
                <w:noProof/>
                <w:sz w:val="22"/>
                <w:szCs w:val="22"/>
              </w:rPr>
            </w:pPr>
            <w:r w:rsidRPr="003519F9">
              <w:rPr>
                <w:rFonts w:ascii="Lato" w:hAnsi="Lato"/>
                <w:bCs/>
                <w:noProof/>
                <w:sz w:val="22"/>
                <w:szCs w:val="22"/>
              </w:rPr>
              <w:t>Competency: Innovating and Adapting</w:t>
            </w:r>
          </w:p>
          <w:p w14:paraId="0E441363" w14:textId="77777777" w:rsidR="00E271DC" w:rsidRPr="003519F9" w:rsidRDefault="00E271DC" w:rsidP="00C715DD">
            <w:pPr>
              <w:rPr>
                <w:rFonts w:ascii="Lato" w:hAnsi="Lato"/>
                <w:bCs/>
                <w:noProof/>
                <w:sz w:val="22"/>
                <w:szCs w:val="22"/>
              </w:rPr>
            </w:pPr>
            <w:r w:rsidRPr="003519F9">
              <w:rPr>
                <w:rFonts w:ascii="Lato" w:hAnsi="Lato"/>
                <w:bCs/>
                <w:noProof/>
                <w:sz w:val="22"/>
                <w:szCs w:val="22"/>
              </w:rPr>
              <w:t>Level: Leading Edge</w:t>
            </w:r>
          </w:p>
          <w:p w14:paraId="0DF86E52" w14:textId="77777777" w:rsidR="00E271DC" w:rsidRPr="003519F9" w:rsidRDefault="00E271DC" w:rsidP="771D5593">
            <w:pPr>
              <w:rPr>
                <w:rFonts w:ascii="Lato" w:hAnsi="Lato"/>
                <w:noProof/>
                <w:sz w:val="22"/>
                <w:szCs w:val="22"/>
              </w:rPr>
            </w:pPr>
            <w:r w:rsidRPr="771D5593">
              <w:rPr>
                <w:rFonts w:ascii="Lato" w:hAnsi="Lato"/>
                <w:noProof/>
                <w:sz w:val="22"/>
                <w:szCs w:val="22"/>
              </w:rPr>
              <w:t>Behavioural Indicator: Sponsors initiatives to ensure that people, processes, and technology create an agile organisation responding quickly to external events.</w:t>
            </w:r>
          </w:p>
          <w:p w14:paraId="5A0F6603" w14:textId="5416599C" w:rsidR="771D5593" w:rsidRDefault="771D5593" w:rsidP="771D5593">
            <w:pPr>
              <w:rPr>
                <w:rFonts w:ascii="Lato" w:hAnsi="Lato"/>
                <w:noProof/>
                <w:sz w:val="22"/>
                <w:szCs w:val="22"/>
              </w:rPr>
            </w:pPr>
          </w:p>
          <w:p w14:paraId="53FF73EF" w14:textId="77777777" w:rsidR="00E271DC" w:rsidRPr="003519F9" w:rsidRDefault="00E271DC" w:rsidP="00C715DD">
            <w:pPr>
              <w:rPr>
                <w:rFonts w:ascii="Lato" w:hAnsi="Lato"/>
                <w:bCs/>
                <w:noProof/>
                <w:sz w:val="22"/>
                <w:szCs w:val="22"/>
              </w:rPr>
            </w:pPr>
            <w:r w:rsidRPr="003519F9">
              <w:rPr>
                <w:rFonts w:ascii="Lato" w:hAnsi="Lato"/>
                <w:bCs/>
                <w:noProof/>
                <w:sz w:val="22"/>
                <w:szCs w:val="22"/>
              </w:rPr>
              <w:t>Cluster: Thinking</w:t>
            </w:r>
          </w:p>
          <w:p w14:paraId="27AF9FE5" w14:textId="77777777" w:rsidR="00E271DC" w:rsidRPr="003519F9" w:rsidRDefault="00E271DC" w:rsidP="00C715DD">
            <w:pPr>
              <w:rPr>
                <w:rFonts w:ascii="Lato" w:hAnsi="Lato"/>
                <w:bCs/>
                <w:noProof/>
                <w:sz w:val="22"/>
                <w:szCs w:val="22"/>
              </w:rPr>
            </w:pPr>
            <w:r w:rsidRPr="003519F9">
              <w:rPr>
                <w:rFonts w:ascii="Lato" w:hAnsi="Lato"/>
                <w:bCs/>
                <w:noProof/>
                <w:sz w:val="22"/>
                <w:szCs w:val="22"/>
              </w:rPr>
              <w:t>Competency: Problem Solving and Decision Making</w:t>
            </w:r>
          </w:p>
          <w:p w14:paraId="1979904D" w14:textId="77777777" w:rsidR="00E271DC" w:rsidRPr="003519F9" w:rsidRDefault="00E271DC" w:rsidP="00C715DD">
            <w:pPr>
              <w:rPr>
                <w:rFonts w:ascii="Lato" w:hAnsi="Lato"/>
                <w:bCs/>
                <w:noProof/>
                <w:sz w:val="22"/>
                <w:szCs w:val="22"/>
              </w:rPr>
            </w:pPr>
            <w:r w:rsidRPr="003519F9">
              <w:rPr>
                <w:rFonts w:ascii="Lato" w:hAnsi="Lato"/>
                <w:bCs/>
                <w:noProof/>
                <w:sz w:val="22"/>
                <w:szCs w:val="22"/>
              </w:rPr>
              <w:t>Level: Leading Edge</w:t>
            </w:r>
          </w:p>
          <w:p w14:paraId="67F6C9CA" w14:textId="77777777" w:rsidR="00E271DC" w:rsidRPr="003519F9" w:rsidRDefault="00E271DC" w:rsidP="771D5593">
            <w:pPr>
              <w:rPr>
                <w:rFonts w:ascii="Lato" w:hAnsi="Lato"/>
                <w:noProof/>
                <w:sz w:val="22"/>
                <w:szCs w:val="22"/>
              </w:rPr>
            </w:pPr>
            <w:r w:rsidRPr="771D5593">
              <w:rPr>
                <w:rFonts w:ascii="Lato" w:hAnsi="Lato"/>
                <w:noProof/>
                <w:sz w:val="22"/>
                <w:szCs w:val="22"/>
              </w:rPr>
              <w:t>Behavioural Indicator: Brings in external perspective to ensure strategic decision making remains relevant and focused on the long-term.</w:t>
            </w:r>
          </w:p>
          <w:p w14:paraId="00B4B781" w14:textId="1FE19A68" w:rsidR="771D5593" w:rsidRDefault="771D5593" w:rsidP="771D5593">
            <w:pPr>
              <w:rPr>
                <w:rFonts w:ascii="Lato" w:hAnsi="Lato"/>
                <w:noProof/>
                <w:sz w:val="22"/>
                <w:szCs w:val="22"/>
              </w:rPr>
            </w:pPr>
          </w:p>
          <w:p w14:paraId="07DE0026" w14:textId="77777777" w:rsidR="00E271DC" w:rsidRPr="003519F9" w:rsidRDefault="00E271DC" w:rsidP="00C715DD">
            <w:pPr>
              <w:rPr>
                <w:rFonts w:ascii="Lato" w:hAnsi="Lato"/>
                <w:bCs/>
                <w:noProof/>
                <w:sz w:val="22"/>
                <w:szCs w:val="22"/>
              </w:rPr>
            </w:pPr>
            <w:r w:rsidRPr="003519F9">
              <w:rPr>
                <w:rFonts w:ascii="Lato" w:hAnsi="Lato"/>
                <w:bCs/>
                <w:noProof/>
                <w:sz w:val="22"/>
                <w:szCs w:val="22"/>
              </w:rPr>
              <w:t>Cluster: Engaging</w:t>
            </w:r>
          </w:p>
          <w:p w14:paraId="5361554C" w14:textId="77777777" w:rsidR="00E271DC" w:rsidRPr="003519F9" w:rsidRDefault="00E271DC" w:rsidP="00C715DD">
            <w:pPr>
              <w:rPr>
                <w:rFonts w:ascii="Lato" w:hAnsi="Lato"/>
                <w:bCs/>
                <w:noProof/>
                <w:sz w:val="22"/>
                <w:szCs w:val="22"/>
              </w:rPr>
            </w:pPr>
            <w:r w:rsidRPr="003519F9">
              <w:rPr>
                <w:rFonts w:ascii="Lato" w:hAnsi="Lato"/>
                <w:bCs/>
                <w:noProof/>
                <w:sz w:val="22"/>
                <w:szCs w:val="22"/>
              </w:rPr>
              <w:t>Competency: Networking</w:t>
            </w:r>
          </w:p>
          <w:p w14:paraId="31781DDB" w14:textId="77777777" w:rsidR="00E271DC" w:rsidRPr="003519F9" w:rsidRDefault="00E271DC" w:rsidP="00C715DD">
            <w:pPr>
              <w:rPr>
                <w:rFonts w:ascii="Lato" w:hAnsi="Lato"/>
                <w:bCs/>
                <w:noProof/>
                <w:sz w:val="22"/>
                <w:szCs w:val="22"/>
              </w:rPr>
            </w:pPr>
            <w:r w:rsidRPr="003519F9">
              <w:rPr>
                <w:rFonts w:ascii="Lato" w:hAnsi="Lato"/>
                <w:bCs/>
                <w:noProof/>
                <w:sz w:val="22"/>
                <w:szCs w:val="22"/>
              </w:rPr>
              <w:t>Level: Leading Edge</w:t>
            </w:r>
          </w:p>
          <w:p w14:paraId="411D9678" w14:textId="77777777" w:rsidR="00E271DC" w:rsidRPr="003519F9" w:rsidRDefault="00E271DC" w:rsidP="771D5593">
            <w:pPr>
              <w:rPr>
                <w:rFonts w:ascii="Lato" w:hAnsi="Lato"/>
                <w:noProof/>
                <w:sz w:val="22"/>
                <w:szCs w:val="22"/>
              </w:rPr>
            </w:pPr>
            <w:r w:rsidRPr="771D5593">
              <w:rPr>
                <w:rFonts w:ascii="Lato" w:hAnsi="Lato"/>
                <w:noProof/>
                <w:sz w:val="22"/>
                <w:szCs w:val="22"/>
              </w:rPr>
              <w:t>Behavioural Indicator: Drives external networks and partnerships in the sector and beyond.</w:t>
            </w:r>
          </w:p>
          <w:p w14:paraId="3150D1C4" w14:textId="259B6A56" w:rsidR="771D5593" w:rsidRDefault="771D5593" w:rsidP="771D5593">
            <w:pPr>
              <w:rPr>
                <w:rFonts w:ascii="Lato" w:hAnsi="Lato"/>
                <w:noProof/>
                <w:sz w:val="22"/>
                <w:szCs w:val="22"/>
              </w:rPr>
            </w:pPr>
          </w:p>
          <w:p w14:paraId="271D7C73" w14:textId="77777777" w:rsidR="00E271DC" w:rsidRPr="003519F9" w:rsidRDefault="00E271DC" w:rsidP="00C715DD">
            <w:pPr>
              <w:rPr>
                <w:rFonts w:ascii="Lato" w:hAnsi="Lato"/>
                <w:bCs/>
                <w:noProof/>
                <w:sz w:val="22"/>
                <w:szCs w:val="22"/>
              </w:rPr>
            </w:pPr>
            <w:r w:rsidRPr="003519F9">
              <w:rPr>
                <w:rFonts w:ascii="Lato" w:hAnsi="Lato"/>
                <w:bCs/>
                <w:noProof/>
                <w:sz w:val="22"/>
                <w:szCs w:val="22"/>
              </w:rPr>
              <w:t>Cluster: Engaging</w:t>
            </w:r>
            <w:bookmarkStart w:id="0" w:name="_GoBack"/>
            <w:bookmarkEnd w:id="0"/>
          </w:p>
          <w:p w14:paraId="1DF99449" w14:textId="77777777" w:rsidR="00E271DC" w:rsidRPr="003519F9" w:rsidRDefault="00E271DC" w:rsidP="00C715DD">
            <w:pPr>
              <w:rPr>
                <w:rFonts w:ascii="Lato" w:hAnsi="Lato"/>
                <w:bCs/>
                <w:noProof/>
                <w:sz w:val="22"/>
                <w:szCs w:val="22"/>
              </w:rPr>
            </w:pPr>
            <w:r w:rsidRPr="003519F9">
              <w:rPr>
                <w:rFonts w:ascii="Lato" w:hAnsi="Lato"/>
                <w:bCs/>
                <w:noProof/>
                <w:sz w:val="22"/>
                <w:szCs w:val="22"/>
              </w:rPr>
              <w:t>Competency: Communicating with Impact</w:t>
            </w:r>
          </w:p>
          <w:p w14:paraId="376444A6" w14:textId="77777777" w:rsidR="00E271DC" w:rsidRPr="003519F9" w:rsidRDefault="00E271DC" w:rsidP="00C715DD">
            <w:pPr>
              <w:rPr>
                <w:rFonts w:ascii="Lato" w:hAnsi="Lato"/>
                <w:bCs/>
                <w:noProof/>
                <w:sz w:val="22"/>
                <w:szCs w:val="22"/>
              </w:rPr>
            </w:pPr>
            <w:r w:rsidRPr="003519F9">
              <w:rPr>
                <w:rFonts w:ascii="Lato" w:hAnsi="Lato"/>
                <w:bCs/>
                <w:noProof/>
                <w:sz w:val="22"/>
                <w:szCs w:val="22"/>
              </w:rPr>
              <w:t>Level: Leading Edge</w:t>
            </w:r>
          </w:p>
          <w:p w14:paraId="5FBB5E80" w14:textId="77777777" w:rsidR="002E64D8" w:rsidRPr="002E64D8" w:rsidRDefault="00E271DC" w:rsidP="00033EB6">
            <w:pPr>
              <w:rPr>
                <w:rFonts w:ascii="Lato" w:hAnsi="Lato"/>
                <w:bCs/>
                <w:sz w:val="22"/>
                <w:szCs w:val="22"/>
              </w:rPr>
            </w:pPr>
            <w:r w:rsidRPr="003519F9">
              <w:rPr>
                <w:rFonts w:ascii="Lato" w:hAnsi="Lato"/>
                <w:bCs/>
                <w:noProof/>
                <w:sz w:val="22"/>
                <w:szCs w:val="22"/>
              </w:rPr>
              <w:t>Behavioural Indicator: Delivers influential advice and briefings to internal and external audiences to build the call for action.</w:t>
            </w:r>
          </w:p>
        </w:tc>
      </w:tr>
    </w:tbl>
    <w:p w14:paraId="34CE0A41"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61E02F1F">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6CC257E4" w14:textId="77777777" w:rsidTr="61E02F1F">
        <w:trPr>
          <w:trHeight w:val="854"/>
        </w:trPr>
        <w:tc>
          <w:tcPr>
            <w:tcW w:w="10296" w:type="dxa"/>
          </w:tcPr>
          <w:p w14:paraId="0895C2DB" w14:textId="44E0B69C" w:rsidR="002E64D8" w:rsidRPr="00F13ABA" w:rsidRDefault="67A4AD9E" w:rsidP="61E02F1F">
            <w:pPr>
              <w:rPr>
                <w:rFonts w:ascii="Lato" w:hAnsi="Lato"/>
                <w:b/>
                <w:bCs/>
                <w:sz w:val="22"/>
                <w:szCs w:val="22"/>
              </w:rPr>
            </w:pPr>
            <w:r w:rsidRPr="61E02F1F">
              <w:rPr>
                <w:rFonts w:ascii="Lato" w:hAnsi="Lato"/>
                <w:b/>
                <w:bCs/>
                <w:sz w:val="22"/>
                <w:szCs w:val="22"/>
              </w:rPr>
              <w:t>Essential</w:t>
            </w:r>
            <w:r w:rsidR="727F8A1D" w:rsidRPr="61E02F1F">
              <w:rPr>
                <w:rFonts w:ascii="Lato" w:hAnsi="Lato"/>
                <w:b/>
                <w:bCs/>
                <w:sz w:val="22"/>
                <w:szCs w:val="22"/>
              </w:rPr>
              <w:t xml:space="preserve"> </w:t>
            </w:r>
          </w:p>
          <w:p w14:paraId="62EBF3C5" w14:textId="77777777" w:rsidR="002E64D8" w:rsidRDefault="002E64D8" w:rsidP="002E64D8">
            <w:pPr>
              <w:rPr>
                <w:rFonts w:ascii="Lato" w:hAnsi="Lato"/>
                <w:bCs/>
                <w:sz w:val="22"/>
                <w:szCs w:val="22"/>
              </w:rPr>
            </w:pPr>
          </w:p>
          <w:p w14:paraId="718EE1A2" w14:textId="77777777" w:rsidR="00E271DC" w:rsidRPr="003519F9" w:rsidRDefault="00E271DC" w:rsidP="00C715DD">
            <w:pPr>
              <w:rPr>
                <w:rFonts w:ascii="Lato" w:hAnsi="Lato"/>
                <w:bCs/>
                <w:noProof/>
                <w:sz w:val="22"/>
                <w:szCs w:val="22"/>
              </w:rPr>
            </w:pPr>
            <w:r w:rsidRPr="003519F9">
              <w:rPr>
                <w:rFonts w:ascii="Lato" w:hAnsi="Lato"/>
                <w:bCs/>
                <w:noProof/>
                <w:sz w:val="22"/>
                <w:szCs w:val="22"/>
              </w:rPr>
              <w:t>Experience</w:t>
            </w:r>
          </w:p>
          <w:p w14:paraId="428080A3" w14:textId="77777777" w:rsidR="00E271DC" w:rsidRPr="003519F9" w:rsidRDefault="00E271DC" w:rsidP="61E02F1F">
            <w:pPr>
              <w:pStyle w:val="ListParagraph"/>
              <w:numPr>
                <w:ilvl w:val="0"/>
                <w:numId w:val="3"/>
              </w:numPr>
              <w:rPr>
                <w:rFonts w:ascii="Lato" w:hAnsi="Lato"/>
                <w:noProof/>
                <w:sz w:val="22"/>
                <w:szCs w:val="22"/>
              </w:rPr>
            </w:pPr>
            <w:r w:rsidRPr="61E02F1F">
              <w:rPr>
                <w:rFonts w:ascii="Lato" w:hAnsi="Lato"/>
                <w:noProof/>
                <w:sz w:val="22"/>
                <w:szCs w:val="22"/>
              </w:rPr>
              <w:t>Foundation of Experience: Experience in global policy and advocacy work, particularly in international development or child rights.</w:t>
            </w:r>
          </w:p>
          <w:p w14:paraId="30F9742C" w14:textId="52E01A6C" w:rsidR="00E271DC" w:rsidRPr="003519F9" w:rsidRDefault="00E271DC" w:rsidP="61E02F1F">
            <w:pPr>
              <w:pStyle w:val="ListParagraph"/>
              <w:numPr>
                <w:ilvl w:val="0"/>
                <w:numId w:val="3"/>
              </w:numPr>
              <w:rPr>
                <w:rFonts w:ascii="Lato" w:hAnsi="Lato"/>
                <w:noProof/>
                <w:sz w:val="22"/>
                <w:szCs w:val="22"/>
              </w:rPr>
            </w:pPr>
            <w:r w:rsidRPr="61E02F1F">
              <w:rPr>
                <w:rFonts w:ascii="Lato" w:hAnsi="Lato"/>
                <w:noProof/>
                <w:sz w:val="22"/>
                <w:szCs w:val="22"/>
              </w:rPr>
              <w:t>Proficient Experience: Demonstrates a history of successful policy and advocacy efforts</w:t>
            </w:r>
            <w:r w:rsidR="008662C2">
              <w:rPr>
                <w:rFonts w:ascii="Lato" w:hAnsi="Lato"/>
                <w:noProof/>
                <w:sz w:val="22"/>
                <w:szCs w:val="22"/>
              </w:rPr>
              <w:t xml:space="preserve"> across all contexts</w:t>
            </w:r>
            <w:r w:rsidRPr="61E02F1F">
              <w:rPr>
                <w:rFonts w:ascii="Lato" w:hAnsi="Lato"/>
                <w:noProof/>
                <w:sz w:val="22"/>
                <w:szCs w:val="22"/>
              </w:rPr>
              <w:t>, contributing significantly to global campaigns and initiatives.</w:t>
            </w:r>
          </w:p>
          <w:p w14:paraId="6CF4B768" w14:textId="33904B0C" w:rsidR="00E271DC" w:rsidRPr="003519F9" w:rsidRDefault="00E271DC" w:rsidP="61E02F1F">
            <w:pPr>
              <w:pStyle w:val="ListParagraph"/>
              <w:numPr>
                <w:ilvl w:val="0"/>
                <w:numId w:val="3"/>
              </w:numPr>
              <w:rPr>
                <w:rFonts w:ascii="Lato" w:hAnsi="Lato"/>
                <w:noProof/>
                <w:sz w:val="22"/>
                <w:szCs w:val="22"/>
              </w:rPr>
            </w:pPr>
            <w:r w:rsidRPr="61E02F1F">
              <w:rPr>
                <w:rFonts w:ascii="Lato" w:hAnsi="Lato"/>
                <w:noProof/>
                <w:sz w:val="22"/>
                <w:szCs w:val="22"/>
              </w:rPr>
              <w:t xml:space="preserve">Considerable Experience: A track record of managing and implementing advocacy strategies </w:t>
            </w:r>
            <w:r w:rsidR="008662C2">
              <w:rPr>
                <w:rFonts w:ascii="Lato" w:hAnsi="Lato"/>
                <w:noProof/>
                <w:sz w:val="22"/>
                <w:szCs w:val="22"/>
              </w:rPr>
              <w:t xml:space="preserve">and development of complex policy positions </w:t>
            </w:r>
            <w:r w:rsidRPr="61E02F1F">
              <w:rPr>
                <w:rFonts w:ascii="Lato" w:hAnsi="Lato"/>
                <w:noProof/>
                <w:sz w:val="22"/>
                <w:szCs w:val="22"/>
              </w:rPr>
              <w:t>at an international level, with a keen understanding of global political dynamics.</w:t>
            </w:r>
          </w:p>
          <w:p w14:paraId="622FF095" w14:textId="08F5A035" w:rsidR="00E271DC" w:rsidRPr="003519F9" w:rsidRDefault="00E271DC" w:rsidP="61E02F1F">
            <w:pPr>
              <w:pStyle w:val="ListParagraph"/>
              <w:numPr>
                <w:ilvl w:val="0"/>
                <w:numId w:val="3"/>
              </w:numPr>
              <w:rPr>
                <w:rFonts w:ascii="Lato" w:hAnsi="Lato"/>
                <w:noProof/>
                <w:sz w:val="22"/>
                <w:szCs w:val="22"/>
              </w:rPr>
            </w:pPr>
            <w:r w:rsidRPr="61E02F1F">
              <w:rPr>
                <w:rFonts w:ascii="Lato" w:hAnsi="Lato"/>
                <w:noProof/>
                <w:sz w:val="22"/>
                <w:szCs w:val="22"/>
              </w:rPr>
              <w:t>Extensive Experience: Experience working within a global NGO or similar setting, managing high-stakes relationships</w:t>
            </w:r>
            <w:r w:rsidR="008662C2">
              <w:rPr>
                <w:rFonts w:ascii="Lato" w:hAnsi="Lato"/>
                <w:noProof/>
                <w:sz w:val="22"/>
                <w:szCs w:val="22"/>
              </w:rPr>
              <w:t>, risk</w:t>
            </w:r>
            <w:r w:rsidRPr="61E02F1F">
              <w:rPr>
                <w:rFonts w:ascii="Lato" w:hAnsi="Lato"/>
                <w:noProof/>
                <w:sz w:val="22"/>
                <w:szCs w:val="22"/>
              </w:rPr>
              <w:t xml:space="preserve"> and ensuring strategic alignment across multiple teams.</w:t>
            </w:r>
          </w:p>
          <w:p w14:paraId="7138C0BA" w14:textId="77777777" w:rsidR="00E271DC" w:rsidRPr="003519F9" w:rsidRDefault="00E271DC" w:rsidP="61E02F1F">
            <w:pPr>
              <w:pStyle w:val="ListParagraph"/>
              <w:numPr>
                <w:ilvl w:val="0"/>
                <w:numId w:val="3"/>
              </w:numPr>
              <w:rPr>
                <w:rFonts w:ascii="Lato" w:hAnsi="Lato"/>
                <w:noProof/>
                <w:sz w:val="22"/>
                <w:szCs w:val="22"/>
              </w:rPr>
            </w:pPr>
            <w:r w:rsidRPr="61E02F1F">
              <w:rPr>
                <w:rFonts w:ascii="Lato" w:hAnsi="Lato"/>
                <w:noProof/>
                <w:sz w:val="22"/>
                <w:szCs w:val="22"/>
              </w:rPr>
              <w:t>Diversity, Equity, and Inclusion: Committed experience in advancing DEI principles within their advocacy work, ensuring that policies and strategies are equitable and inclusive.</w:t>
            </w:r>
          </w:p>
          <w:p w14:paraId="11FE8DAC" w14:textId="77777777" w:rsidR="009618A9" w:rsidRDefault="00E271DC" w:rsidP="61E02F1F">
            <w:pPr>
              <w:pStyle w:val="ListParagraph"/>
              <w:numPr>
                <w:ilvl w:val="0"/>
                <w:numId w:val="3"/>
              </w:numPr>
              <w:rPr>
                <w:rFonts w:ascii="Lato" w:hAnsi="Lato"/>
                <w:sz w:val="22"/>
                <w:szCs w:val="22"/>
              </w:rPr>
            </w:pPr>
            <w:r w:rsidRPr="61E02F1F">
              <w:rPr>
                <w:rFonts w:ascii="Lato" w:hAnsi="Lato"/>
                <w:noProof/>
                <w:sz w:val="22"/>
                <w:szCs w:val="22"/>
              </w:rPr>
              <w:lastRenderedPageBreak/>
              <w:t>Crisis Management and Resilience: Experience in managing advocacy efforts in complex, high-pressure environments, demonstrating resilience and adaptive problem-solving</w:t>
            </w:r>
          </w:p>
          <w:p w14:paraId="33AF8176" w14:textId="42E80F21" w:rsidR="4E0BE3BF" w:rsidRDefault="4E0BE3BF" w:rsidP="61E02F1F">
            <w:pPr>
              <w:pStyle w:val="ListParagraph"/>
              <w:numPr>
                <w:ilvl w:val="0"/>
                <w:numId w:val="3"/>
              </w:numPr>
              <w:rPr>
                <w:rFonts w:ascii="Lato" w:hAnsi="Lato"/>
                <w:sz w:val="22"/>
                <w:szCs w:val="22"/>
              </w:rPr>
            </w:pPr>
            <w:r w:rsidRPr="61E02F1F">
              <w:rPr>
                <w:rFonts w:ascii="Lato" w:eastAsia="Lato" w:hAnsi="Lato" w:cs="Lato"/>
                <w:sz w:val="22"/>
                <w:szCs w:val="22"/>
              </w:rPr>
              <w:t>Significant experience working across advocacy, comms, campaigns and media in various contexts with a strong understanding and grasp of policy issues and risk management</w:t>
            </w:r>
          </w:p>
          <w:p w14:paraId="6D98A12B" w14:textId="77777777" w:rsidR="002E64D8" w:rsidRDefault="002E64D8" w:rsidP="002E64D8">
            <w:pPr>
              <w:rPr>
                <w:rFonts w:ascii="Lato" w:hAnsi="Lato"/>
                <w:bCs/>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2946DB82" w14:textId="77777777" w:rsidR="002E64D8" w:rsidRDefault="002E64D8" w:rsidP="002E64D8">
            <w:pPr>
              <w:rPr>
                <w:rFonts w:ascii="Lato" w:hAnsi="Lato"/>
                <w:bCs/>
                <w:sz w:val="22"/>
                <w:szCs w:val="22"/>
              </w:rPr>
            </w:pPr>
          </w:p>
          <w:p w14:paraId="5997CC1D" w14:textId="77777777" w:rsidR="002E64D8" w:rsidRPr="005E601E" w:rsidRDefault="002E64D8" w:rsidP="002E64D8">
            <w:pPr>
              <w:rPr>
                <w:rFonts w:ascii="Lato" w:hAnsi="Lato"/>
                <w:bCs/>
                <w:iCs/>
                <w:sz w:val="22"/>
                <w:szCs w:val="22"/>
              </w:rPr>
            </w:pPr>
          </w:p>
        </w:tc>
      </w:tr>
    </w:tbl>
    <w:p w14:paraId="110FFD37"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61E02F1F">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0956BB7A" w14:textId="77777777" w:rsidTr="61E02F1F">
        <w:trPr>
          <w:trHeight w:val="854"/>
        </w:trPr>
        <w:tc>
          <w:tcPr>
            <w:tcW w:w="10296" w:type="dxa"/>
          </w:tcPr>
          <w:p w14:paraId="6B699379" w14:textId="77777777" w:rsidR="002E64D8" w:rsidRDefault="002E64D8" w:rsidP="002E64D8">
            <w:pPr>
              <w:rPr>
                <w:rFonts w:ascii="Lato" w:hAnsi="Lato"/>
                <w:b/>
                <w:sz w:val="22"/>
                <w:szCs w:val="22"/>
              </w:rPr>
            </w:pPr>
          </w:p>
          <w:p w14:paraId="646505A4" w14:textId="4A6AD6ED" w:rsidR="00E271DC" w:rsidRDefault="00E271DC" w:rsidP="61E02F1F">
            <w:pPr>
              <w:pStyle w:val="ListParagraph"/>
              <w:numPr>
                <w:ilvl w:val="0"/>
                <w:numId w:val="2"/>
              </w:numPr>
              <w:rPr>
                <w:rFonts w:ascii="Lato" w:hAnsi="Lato"/>
                <w:noProof/>
                <w:sz w:val="22"/>
                <w:szCs w:val="22"/>
              </w:rPr>
            </w:pPr>
            <w:r w:rsidRPr="61E02F1F">
              <w:rPr>
                <w:rFonts w:ascii="Lato" w:hAnsi="Lato"/>
                <w:noProof/>
                <w:sz w:val="22"/>
                <w:szCs w:val="22"/>
              </w:rPr>
              <w:t xml:space="preserve">Master’s Degree in International Relations, Political Science, Public Policy, Development Studies, or a related field is preferable.                                                </w:t>
            </w:r>
          </w:p>
          <w:p w14:paraId="29182081" w14:textId="3DE15227" w:rsidR="61E02F1F" w:rsidRDefault="61E02F1F" w:rsidP="61E02F1F">
            <w:pPr>
              <w:pStyle w:val="ListParagraph"/>
              <w:ind w:left="360"/>
              <w:rPr>
                <w:rFonts w:ascii="Lato" w:hAnsi="Lato"/>
                <w:noProof/>
                <w:sz w:val="22"/>
                <w:szCs w:val="22"/>
              </w:rPr>
            </w:pPr>
          </w:p>
          <w:p w14:paraId="1F72F646" w14:textId="004BBC50" w:rsidR="002E64D8" w:rsidRDefault="002E64D8" w:rsidP="61E02F1F">
            <w:pPr>
              <w:rPr>
                <w:rFonts w:ascii="Lato" w:hAnsi="Lato"/>
                <w:b/>
                <w:bCs/>
                <w:sz w:val="22"/>
                <w:szCs w:val="22"/>
              </w:rPr>
            </w:pPr>
          </w:p>
          <w:p w14:paraId="08CE6F91" w14:textId="77777777" w:rsidR="002E64D8" w:rsidRPr="005E601E" w:rsidRDefault="002E64D8" w:rsidP="00033EB6">
            <w:pPr>
              <w:rPr>
                <w:rFonts w:ascii="Lato" w:hAnsi="Lato"/>
                <w:bCs/>
                <w:iCs/>
                <w:sz w:val="22"/>
                <w:szCs w:val="22"/>
              </w:rPr>
            </w:pPr>
          </w:p>
        </w:tc>
      </w:tr>
    </w:tbl>
    <w:p w14:paraId="61CDCEA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DBB97AE"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6BB9E253" w14:textId="77777777" w:rsidR="00BB1C79" w:rsidRDefault="00BB1C79" w:rsidP="00072577">
            <w:pPr>
              <w:tabs>
                <w:tab w:val="left" w:pos="984"/>
              </w:tabs>
              <w:rPr>
                <w:rFonts w:ascii="Lato" w:hAnsi="Lato"/>
                <w:sz w:val="22"/>
                <w:szCs w:val="22"/>
              </w:rPr>
            </w:pPr>
          </w:p>
          <w:p w14:paraId="56B2B802" w14:textId="77777777" w:rsidR="00BB1C79" w:rsidRPr="005E601E" w:rsidRDefault="00E271DC" w:rsidP="00072577">
            <w:pPr>
              <w:tabs>
                <w:tab w:val="left" w:pos="984"/>
              </w:tabs>
              <w:rPr>
                <w:rFonts w:ascii="Lato" w:hAnsi="Lato"/>
                <w:sz w:val="22"/>
                <w:szCs w:val="22"/>
              </w:rPr>
            </w:pPr>
            <w:r w:rsidRPr="003519F9">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p w14:paraId="23DE523C" w14:textId="77777777" w:rsidR="00072577" w:rsidRPr="001217A8" w:rsidRDefault="00072577" w:rsidP="00072577">
            <w:pPr>
              <w:rPr>
                <w:rFonts w:ascii="Lato" w:hAnsi="Lato" w:cs="Mangal"/>
                <w:b/>
                <w:sz w:val="22"/>
                <w:szCs w:val="22"/>
              </w:rPr>
            </w:pPr>
          </w:p>
        </w:tc>
      </w:tr>
    </w:tbl>
    <w:p w14:paraId="52E56223"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07547A01" w14:textId="77777777" w:rsidR="00072577" w:rsidRPr="005E601E" w:rsidRDefault="00072577" w:rsidP="008A1691">
      <w:pPr>
        <w:rPr>
          <w:rFonts w:ascii="Lato" w:hAnsi="Lato"/>
          <w:b/>
          <w:sz w:val="22"/>
          <w:szCs w:val="22"/>
        </w:rPr>
      </w:pPr>
    </w:p>
    <w:p w14:paraId="5043CB0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07459315" w14:textId="77777777" w:rsidTr="008742CD">
        <w:tc>
          <w:tcPr>
            <w:tcW w:w="2061" w:type="dxa"/>
            <w:shd w:val="clear" w:color="auto" w:fill="auto"/>
          </w:tcPr>
          <w:p w14:paraId="6537F28F" w14:textId="77777777" w:rsidR="000F4917" w:rsidRPr="005E601E" w:rsidRDefault="000F4917" w:rsidP="000F4917">
            <w:pPr>
              <w:rPr>
                <w:rFonts w:ascii="Lato" w:hAnsi="Lato" w:cs="Mangal"/>
                <w:bCs/>
                <w:sz w:val="22"/>
                <w:szCs w:val="22"/>
              </w:rPr>
            </w:pPr>
          </w:p>
        </w:tc>
        <w:tc>
          <w:tcPr>
            <w:tcW w:w="2062" w:type="dxa"/>
            <w:shd w:val="clear" w:color="auto" w:fill="auto"/>
          </w:tcPr>
          <w:p w14:paraId="6DFB9E20" w14:textId="77777777" w:rsidR="000F4917" w:rsidRPr="005E601E" w:rsidRDefault="000F4917" w:rsidP="000F4917">
            <w:pPr>
              <w:rPr>
                <w:rFonts w:ascii="Lato" w:hAnsi="Lato" w:cs="Mangal"/>
                <w:bCs/>
                <w:sz w:val="22"/>
                <w:szCs w:val="22"/>
              </w:rPr>
            </w:pPr>
          </w:p>
        </w:tc>
        <w:tc>
          <w:tcPr>
            <w:tcW w:w="2061" w:type="dxa"/>
            <w:shd w:val="clear" w:color="auto" w:fill="auto"/>
          </w:tcPr>
          <w:p w14:paraId="70DF9E56" w14:textId="77777777" w:rsidR="000F4917" w:rsidRPr="005E601E" w:rsidRDefault="000F4917" w:rsidP="000F4917">
            <w:pPr>
              <w:rPr>
                <w:rFonts w:ascii="Lato" w:hAnsi="Lato" w:cs="Mangal"/>
                <w:bCs/>
                <w:sz w:val="22"/>
                <w:szCs w:val="22"/>
              </w:rPr>
            </w:pPr>
          </w:p>
        </w:tc>
        <w:tc>
          <w:tcPr>
            <w:tcW w:w="2062" w:type="dxa"/>
            <w:shd w:val="clear" w:color="auto" w:fill="auto"/>
          </w:tcPr>
          <w:p w14:paraId="44E871BC" w14:textId="77777777" w:rsidR="000F4917" w:rsidRPr="005E601E" w:rsidRDefault="000F4917" w:rsidP="000F4917">
            <w:pPr>
              <w:rPr>
                <w:rFonts w:ascii="Lato" w:hAnsi="Lato" w:cs="Mangal"/>
                <w:bCs/>
                <w:sz w:val="22"/>
                <w:szCs w:val="22"/>
              </w:rPr>
            </w:pPr>
          </w:p>
        </w:tc>
        <w:tc>
          <w:tcPr>
            <w:tcW w:w="2062" w:type="dxa"/>
            <w:shd w:val="clear" w:color="auto" w:fill="auto"/>
          </w:tcPr>
          <w:p w14:paraId="144A5D23" w14:textId="77777777" w:rsidR="000F4917" w:rsidRPr="005E601E" w:rsidRDefault="000F4917" w:rsidP="000F4917">
            <w:pPr>
              <w:rPr>
                <w:rFonts w:ascii="Lato" w:hAnsi="Lato" w:cs="Mangal"/>
                <w:bCs/>
                <w:sz w:val="22"/>
                <w:szCs w:val="22"/>
              </w:rPr>
            </w:pPr>
          </w:p>
        </w:tc>
      </w:tr>
    </w:tbl>
    <w:p w14:paraId="738610EB" w14:textId="77777777" w:rsidR="00A719CD" w:rsidRPr="005E601E" w:rsidRDefault="00A719CD" w:rsidP="00412E0E">
      <w:pPr>
        <w:rPr>
          <w:rFonts w:ascii="Lato" w:hAnsi="Lato"/>
          <w:sz w:val="22"/>
          <w:szCs w:val="22"/>
        </w:rPr>
      </w:pPr>
    </w:p>
    <w:p w14:paraId="637805D2"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77DBF1" w16cex:dateUtc="2024-09-16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5B4F0C" w16cid:durableId="3E77DB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7FDA2" w14:textId="77777777" w:rsidR="00C45891" w:rsidRDefault="00C45891" w:rsidP="00CB745D">
      <w:r>
        <w:separator/>
      </w:r>
    </w:p>
  </w:endnote>
  <w:endnote w:type="continuationSeparator" w:id="0">
    <w:p w14:paraId="0A80861A" w14:textId="77777777" w:rsidR="00C45891" w:rsidRDefault="00C45891"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73C7E" w14:textId="77777777" w:rsidR="00C45891" w:rsidRDefault="00C45891" w:rsidP="00CB745D">
      <w:r>
        <w:separator/>
      </w:r>
    </w:p>
  </w:footnote>
  <w:footnote w:type="continuationSeparator" w:id="0">
    <w:p w14:paraId="62D083F3" w14:textId="77777777" w:rsidR="00C45891" w:rsidRDefault="00C45891"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4F9C8"/>
    <w:multiLevelType w:val="hybridMultilevel"/>
    <w:tmpl w:val="4DE0F384"/>
    <w:lvl w:ilvl="0" w:tplc="B21C70CC">
      <w:start w:val="1"/>
      <w:numFmt w:val="bullet"/>
      <w:lvlText w:val=""/>
      <w:lvlJc w:val="left"/>
      <w:pPr>
        <w:ind w:left="720" w:hanging="360"/>
      </w:pPr>
      <w:rPr>
        <w:rFonts w:ascii="Symbol" w:hAnsi="Symbol" w:hint="default"/>
      </w:rPr>
    </w:lvl>
    <w:lvl w:ilvl="1" w:tplc="C094A3CA">
      <w:start w:val="1"/>
      <w:numFmt w:val="bullet"/>
      <w:lvlText w:val="o"/>
      <w:lvlJc w:val="left"/>
      <w:pPr>
        <w:ind w:left="1440" w:hanging="360"/>
      </w:pPr>
      <w:rPr>
        <w:rFonts w:ascii="Courier New" w:hAnsi="Courier New" w:hint="default"/>
      </w:rPr>
    </w:lvl>
    <w:lvl w:ilvl="2" w:tplc="FC8C432A">
      <w:start w:val="1"/>
      <w:numFmt w:val="bullet"/>
      <w:lvlText w:val=""/>
      <w:lvlJc w:val="left"/>
      <w:pPr>
        <w:ind w:left="2160" w:hanging="360"/>
      </w:pPr>
      <w:rPr>
        <w:rFonts w:ascii="Wingdings" w:hAnsi="Wingdings" w:hint="default"/>
      </w:rPr>
    </w:lvl>
    <w:lvl w:ilvl="3" w:tplc="27A08F94">
      <w:start w:val="1"/>
      <w:numFmt w:val="bullet"/>
      <w:lvlText w:val=""/>
      <w:lvlJc w:val="left"/>
      <w:pPr>
        <w:ind w:left="2880" w:hanging="360"/>
      </w:pPr>
      <w:rPr>
        <w:rFonts w:ascii="Symbol" w:hAnsi="Symbol" w:hint="default"/>
      </w:rPr>
    </w:lvl>
    <w:lvl w:ilvl="4" w:tplc="A28EAF2E">
      <w:start w:val="1"/>
      <w:numFmt w:val="bullet"/>
      <w:lvlText w:val="o"/>
      <w:lvlJc w:val="left"/>
      <w:pPr>
        <w:ind w:left="3600" w:hanging="360"/>
      </w:pPr>
      <w:rPr>
        <w:rFonts w:ascii="Courier New" w:hAnsi="Courier New" w:hint="default"/>
      </w:rPr>
    </w:lvl>
    <w:lvl w:ilvl="5" w:tplc="1D34B4FC">
      <w:start w:val="1"/>
      <w:numFmt w:val="bullet"/>
      <w:lvlText w:val=""/>
      <w:lvlJc w:val="left"/>
      <w:pPr>
        <w:ind w:left="4320" w:hanging="360"/>
      </w:pPr>
      <w:rPr>
        <w:rFonts w:ascii="Wingdings" w:hAnsi="Wingdings" w:hint="default"/>
      </w:rPr>
    </w:lvl>
    <w:lvl w:ilvl="6" w:tplc="C9626A34">
      <w:start w:val="1"/>
      <w:numFmt w:val="bullet"/>
      <w:lvlText w:val=""/>
      <w:lvlJc w:val="left"/>
      <w:pPr>
        <w:ind w:left="5040" w:hanging="360"/>
      </w:pPr>
      <w:rPr>
        <w:rFonts w:ascii="Symbol" w:hAnsi="Symbol" w:hint="default"/>
      </w:rPr>
    </w:lvl>
    <w:lvl w:ilvl="7" w:tplc="D12E5368">
      <w:start w:val="1"/>
      <w:numFmt w:val="bullet"/>
      <w:lvlText w:val="o"/>
      <w:lvlJc w:val="left"/>
      <w:pPr>
        <w:ind w:left="5760" w:hanging="360"/>
      </w:pPr>
      <w:rPr>
        <w:rFonts w:ascii="Courier New" w:hAnsi="Courier New" w:hint="default"/>
      </w:rPr>
    </w:lvl>
    <w:lvl w:ilvl="8" w:tplc="24D69F9C">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342B0"/>
    <w:multiLevelType w:val="hybridMultilevel"/>
    <w:tmpl w:val="99945DFC"/>
    <w:lvl w:ilvl="0" w:tplc="E1B45E2C">
      <w:start w:val="1"/>
      <w:numFmt w:val="bullet"/>
      <w:lvlText w:val=""/>
      <w:lvlJc w:val="left"/>
      <w:pPr>
        <w:ind w:left="720" w:hanging="360"/>
      </w:pPr>
      <w:rPr>
        <w:rFonts w:ascii="Symbol" w:hAnsi="Symbol" w:hint="default"/>
      </w:rPr>
    </w:lvl>
    <w:lvl w:ilvl="1" w:tplc="1876D390">
      <w:start w:val="1"/>
      <w:numFmt w:val="bullet"/>
      <w:lvlText w:val="o"/>
      <w:lvlJc w:val="left"/>
      <w:pPr>
        <w:ind w:left="1440" w:hanging="360"/>
      </w:pPr>
      <w:rPr>
        <w:rFonts w:ascii="Courier New" w:hAnsi="Courier New" w:hint="default"/>
      </w:rPr>
    </w:lvl>
    <w:lvl w:ilvl="2" w:tplc="C9AC4E14">
      <w:start w:val="1"/>
      <w:numFmt w:val="bullet"/>
      <w:lvlText w:val=""/>
      <w:lvlJc w:val="left"/>
      <w:pPr>
        <w:ind w:left="2160" w:hanging="360"/>
      </w:pPr>
      <w:rPr>
        <w:rFonts w:ascii="Wingdings" w:hAnsi="Wingdings" w:hint="default"/>
      </w:rPr>
    </w:lvl>
    <w:lvl w:ilvl="3" w:tplc="DDAED894">
      <w:start w:val="1"/>
      <w:numFmt w:val="bullet"/>
      <w:lvlText w:val=""/>
      <w:lvlJc w:val="left"/>
      <w:pPr>
        <w:ind w:left="2880" w:hanging="360"/>
      </w:pPr>
      <w:rPr>
        <w:rFonts w:ascii="Symbol" w:hAnsi="Symbol" w:hint="default"/>
      </w:rPr>
    </w:lvl>
    <w:lvl w:ilvl="4" w:tplc="4AC25BD4">
      <w:start w:val="1"/>
      <w:numFmt w:val="bullet"/>
      <w:lvlText w:val="o"/>
      <w:lvlJc w:val="left"/>
      <w:pPr>
        <w:ind w:left="3600" w:hanging="360"/>
      </w:pPr>
      <w:rPr>
        <w:rFonts w:ascii="Courier New" w:hAnsi="Courier New" w:hint="default"/>
      </w:rPr>
    </w:lvl>
    <w:lvl w:ilvl="5" w:tplc="41F02504">
      <w:start w:val="1"/>
      <w:numFmt w:val="bullet"/>
      <w:lvlText w:val=""/>
      <w:lvlJc w:val="left"/>
      <w:pPr>
        <w:ind w:left="4320" w:hanging="360"/>
      </w:pPr>
      <w:rPr>
        <w:rFonts w:ascii="Wingdings" w:hAnsi="Wingdings" w:hint="default"/>
      </w:rPr>
    </w:lvl>
    <w:lvl w:ilvl="6" w:tplc="63DEC4F8">
      <w:start w:val="1"/>
      <w:numFmt w:val="bullet"/>
      <w:lvlText w:val=""/>
      <w:lvlJc w:val="left"/>
      <w:pPr>
        <w:ind w:left="5040" w:hanging="360"/>
      </w:pPr>
      <w:rPr>
        <w:rFonts w:ascii="Symbol" w:hAnsi="Symbol" w:hint="default"/>
      </w:rPr>
    </w:lvl>
    <w:lvl w:ilvl="7" w:tplc="E9E0D698">
      <w:start w:val="1"/>
      <w:numFmt w:val="bullet"/>
      <w:lvlText w:val="o"/>
      <w:lvlJc w:val="left"/>
      <w:pPr>
        <w:ind w:left="5760" w:hanging="360"/>
      </w:pPr>
      <w:rPr>
        <w:rFonts w:ascii="Courier New" w:hAnsi="Courier New" w:hint="default"/>
      </w:rPr>
    </w:lvl>
    <w:lvl w:ilvl="8" w:tplc="FD4AB738">
      <w:start w:val="1"/>
      <w:numFmt w:val="bullet"/>
      <w:lvlText w:val=""/>
      <w:lvlJc w:val="left"/>
      <w:pPr>
        <w:ind w:left="6480" w:hanging="360"/>
      </w:pPr>
      <w:rPr>
        <w:rFonts w:ascii="Wingdings" w:hAnsi="Wingdings" w:hint="default"/>
      </w:rPr>
    </w:lvl>
  </w:abstractNum>
  <w:abstractNum w:abstractNumId="8" w15:restartNumberingAfterBreak="0">
    <w:nsid w:val="17301842"/>
    <w:multiLevelType w:val="hybridMultilevel"/>
    <w:tmpl w:val="CE82ED9C"/>
    <w:lvl w:ilvl="0" w:tplc="FA5C5DDA">
      <w:start w:val="1"/>
      <w:numFmt w:val="bullet"/>
      <w:lvlText w:val=""/>
      <w:lvlJc w:val="left"/>
      <w:pPr>
        <w:ind w:left="720" w:hanging="360"/>
      </w:pPr>
      <w:rPr>
        <w:rFonts w:ascii="Symbol" w:hAnsi="Symbol" w:hint="default"/>
      </w:rPr>
    </w:lvl>
    <w:lvl w:ilvl="1" w:tplc="00EA741E">
      <w:start w:val="1"/>
      <w:numFmt w:val="bullet"/>
      <w:lvlText w:val="o"/>
      <w:lvlJc w:val="left"/>
      <w:pPr>
        <w:ind w:left="1440" w:hanging="360"/>
      </w:pPr>
      <w:rPr>
        <w:rFonts w:ascii="Courier New" w:hAnsi="Courier New" w:hint="default"/>
      </w:rPr>
    </w:lvl>
    <w:lvl w:ilvl="2" w:tplc="38265DB4">
      <w:start w:val="1"/>
      <w:numFmt w:val="bullet"/>
      <w:lvlText w:val=""/>
      <w:lvlJc w:val="left"/>
      <w:pPr>
        <w:ind w:left="2160" w:hanging="360"/>
      </w:pPr>
      <w:rPr>
        <w:rFonts w:ascii="Wingdings" w:hAnsi="Wingdings" w:hint="default"/>
      </w:rPr>
    </w:lvl>
    <w:lvl w:ilvl="3" w:tplc="25C8D174">
      <w:start w:val="1"/>
      <w:numFmt w:val="bullet"/>
      <w:lvlText w:val=""/>
      <w:lvlJc w:val="left"/>
      <w:pPr>
        <w:ind w:left="2880" w:hanging="360"/>
      </w:pPr>
      <w:rPr>
        <w:rFonts w:ascii="Symbol" w:hAnsi="Symbol" w:hint="default"/>
      </w:rPr>
    </w:lvl>
    <w:lvl w:ilvl="4" w:tplc="FA3A39AA">
      <w:start w:val="1"/>
      <w:numFmt w:val="bullet"/>
      <w:lvlText w:val="o"/>
      <w:lvlJc w:val="left"/>
      <w:pPr>
        <w:ind w:left="3600" w:hanging="360"/>
      </w:pPr>
      <w:rPr>
        <w:rFonts w:ascii="Courier New" w:hAnsi="Courier New" w:hint="default"/>
      </w:rPr>
    </w:lvl>
    <w:lvl w:ilvl="5" w:tplc="B4E8A0EC">
      <w:start w:val="1"/>
      <w:numFmt w:val="bullet"/>
      <w:lvlText w:val=""/>
      <w:lvlJc w:val="left"/>
      <w:pPr>
        <w:ind w:left="4320" w:hanging="360"/>
      </w:pPr>
      <w:rPr>
        <w:rFonts w:ascii="Wingdings" w:hAnsi="Wingdings" w:hint="default"/>
      </w:rPr>
    </w:lvl>
    <w:lvl w:ilvl="6" w:tplc="2C200F5A">
      <w:start w:val="1"/>
      <w:numFmt w:val="bullet"/>
      <w:lvlText w:val=""/>
      <w:lvlJc w:val="left"/>
      <w:pPr>
        <w:ind w:left="5040" w:hanging="360"/>
      </w:pPr>
      <w:rPr>
        <w:rFonts w:ascii="Symbol" w:hAnsi="Symbol" w:hint="default"/>
      </w:rPr>
    </w:lvl>
    <w:lvl w:ilvl="7" w:tplc="646E3E54">
      <w:start w:val="1"/>
      <w:numFmt w:val="bullet"/>
      <w:lvlText w:val="o"/>
      <w:lvlJc w:val="left"/>
      <w:pPr>
        <w:ind w:left="5760" w:hanging="360"/>
      </w:pPr>
      <w:rPr>
        <w:rFonts w:ascii="Courier New" w:hAnsi="Courier New" w:hint="default"/>
      </w:rPr>
    </w:lvl>
    <w:lvl w:ilvl="8" w:tplc="7C3EE762">
      <w:start w:val="1"/>
      <w:numFmt w:val="bullet"/>
      <w:lvlText w:val=""/>
      <w:lvlJc w:val="left"/>
      <w:pPr>
        <w:ind w:left="6480" w:hanging="360"/>
      </w:pPr>
      <w:rPr>
        <w:rFonts w:ascii="Wingdings" w:hAnsi="Wingdings" w:hint="default"/>
      </w:r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D03BA9"/>
    <w:multiLevelType w:val="hybridMultilevel"/>
    <w:tmpl w:val="57AA893E"/>
    <w:lvl w:ilvl="0" w:tplc="9196B08E">
      <w:start w:val="1"/>
      <w:numFmt w:val="bullet"/>
      <w:lvlText w:val=""/>
      <w:lvlJc w:val="left"/>
      <w:pPr>
        <w:ind w:left="720" w:hanging="360"/>
      </w:pPr>
      <w:rPr>
        <w:rFonts w:ascii="Symbol" w:hAnsi="Symbol" w:hint="default"/>
      </w:rPr>
    </w:lvl>
    <w:lvl w:ilvl="1" w:tplc="A8B0E63E">
      <w:start w:val="1"/>
      <w:numFmt w:val="bullet"/>
      <w:lvlText w:val="o"/>
      <w:lvlJc w:val="left"/>
      <w:pPr>
        <w:ind w:left="1440" w:hanging="360"/>
      </w:pPr>
      <w:rPr>
        <w:rFonts w:ascii="Courier New" w:hAnsi="Courier New" w:hint="default"/>
      </w:rPr>
    </w:lvl>
    <w:lvl w:ilvl="2" w:tplc="A02429B2">
      <w:start w:val="1"/>
      <w:numFmt w:val="bullet"/>
      <w:lvlText w:val=""/>
      <w:lvlJc w:val="left"/>
      <w:pPr>
        <w:ind w:left="2160" w:hanging="360"/>
      </w:pPr>
      <w:rPr>
        <w:rFonts w:ascii="Wingdings" w:hAnsi="Wingdings" w:hint="default"/>
      </w:rPr>
    </w:lvl>
    <w:lvl w:ilvl="3" w:tplc="1D268508">
      <w:start w:val="1"/>
      <w:numFmt w:val="bullet"/>
      <w:lvlText w:val=""/>
      <w:lvlJc w:val="left"/>
      <w:pPr>
        <w:ind w:left="2880" w:hanging="360"/>
      </w:pPr>
      <w:rPr>
        <w:rFonts w:ascii="Symbol" w:hAnsi="Symbol" w:hint="default"/>
      </w:rPr>
    </w:lvl>
    <w:lvl w:ilvl="4" w:tplc="FDB0D948">
      <w:start w:val="1"/>
      <w:numFmt w:val="bullet"/>
      <w:lvlText w:val="o"/>
      <w:lvlJc w:val="left"/>
      <w:pPr>
        <w:ind w:left="3600" w:hanging="360"/>
      </w:pPr>
      <w:rPr>
        <w:rFonts w:ascii="Courier New" w:hAnsi="Courier New" w:hint="default"/>
      </w:rPr>
    </w:lvl>
    <w:lvl w:ilvl="5" w:tplc="2E469A88">
      <w:start w:val="1"/>
      <w:numFmt w:val="bullet"/>
      <w:lvlText w:val=""/>
      <w:lvlJc w:val="left"/>
      <w:pPr>
        <w:ind w:left="4320" w:hanging="360"/>
      </w:pPr>
      <w:rPr>
        <w:rFonts w:ascii="Wingdings" w:hAnsi="Wingdings" w:hint="default"/>
      </w:rPr>
    </w:lvl>
    <w:lvl w:ilvl="6" w:tplc="D7C41C74">
      <w:start w:val="1"/>
      <w:numFmt w:val="bullet"/>
      <w:lvlText w:val=""/>
      <w:lvlJc w:val="left"/>
      <w:pPr>
        <w:ind w:left="5040" w:hanging="360"/>
      </w:pPr>
      <w:rPr>
        <w:rFonts w:ascii="Symbol" w:hAnsi="Symbol" w:hint="default"/>
      </w:rPr>
    </w:lvl>
    <w:lvl w:ilvl="7" w:tplc="EB5A872E">
      <w:start w:val="1"/>
      <w:numFmt w:val="bullet"/>
      <w:lvlText w:val="o"/>
      <w:lvlJc w:val="left"/>
      <w:pPr>
        <w:ind w:left="5760" w:hanging="360"/>
      </w:pPr>
      <w:rPr>
        <w:rFonts w:ascii="Courier New" w:hAnsi="Courier New" w:hint="default"/>
      </w:rPr>
    </w:lvl>
    <w:lvl w:ilvl="8" w:tplc="6A1060E0">
      <w:start w:val="1"/>
      <w:numFmt w:val="bullet"/>
      <w:lvlText w:val=""/>
      <w:lvlJc w:val="left"/>
      <w:pPr>
        <w:ind w:left="6480" w:hanging="360"/>
      </w:pPr>
      <w:rPr>
        <w:rFonts w:ascii="Wingdings" w:hAnsi="Wingdings" w:hint="default"/>
      </w:rPr>
    </w:lvl>
  </w:abstractNum>
  <w:abstractNum w:abstractNumId="11" w15:restartNumberingAfterBreak="0">
    <w:nsid w:val="3B2CB994"/>
    <w:multiLevelType w:val="hybridMultilevel"/>
    <w:tmpl w:val="29425528"/>
    <w:lvl w:ilvl="0" w:tplc="5FBC2CB4">
      <w:start w:val="1"/>
      <w:numFmt w:val="decimal"/>
      <w:lvlText w:val="%1."/>
      <w:lvlJc w:val="left"/>
      <w:pPr>
        <w:ind w:left="720" w:hanging="360"/>
      </w:pPr>
    </w:lvl>
    <w:lvl w:ilvl="1" w:tplc="57142E32">
      <w:start w:val="1"/>
      <w:numFmt w:val="lowerLetter"/>
      <w:lvlText w:val="%2."/>
      <w:lvlJc w:val="left"/>
      <w:pPr>
        <w:ind w:left="1440" w:hanging="360"/>
      </w:pPr>
    </w:lvl>
    <w:lvl w:ilvl="2" w:tplc="94668CE6">
      <w:start w:val="1"/>
      <w:numFmt w:val="lowerRoman"/>
      <w:lvlText w:val="%3."/>
      <w:lvlJc w:val="right"/>
      <w:pPr>
        <w:ind w:left="2160" w:hanging="180"/>
      </w:pPr>
    </w:lvl>
    <w:lvl w:ilvl="3" w:tplc="C5F8315A">
      <w:start w:val="1"/>
      <w:numFmt w:val="decimal"/>
      <w:lvlText w:val="%4."/>
      <w:lvlJc w:val="left"/>
      <w:pPr>
        <w:ind w:left="2880" w:hanging="360"/>
      </w:pPr>
    </w:lvl>
    <w:lvl w:ilvl="4" w:tplc="9B78D65C">
      <w:start w:val="1"/>
      <w:numFmt w:val="lowerLetter"/>
      <w:lvlText w:val="%5."/>
      <w:lvlJc w:val="left"/>
      <w:pPr>
        <w:ind w:left="3600" w:hanging="360"/>
      </w:pPr>
    </w:lvl>
    <w:lvl w:ilvl="5" w:tplc="4A529448">
      <w:start w:val="1"/>
      <w:numFmt w:val="lowerRoman"/>
      <w:lvlText w:val="%6."/>
      <w:lvlJc w:val="right"/>
      <w:pPr>
        <w:ind w:left="4320" w:hanging="180"/>
      </w:pPr>
    </w:lvl>
    <w:lvl w:ilvl="6" w:tplc="0E6A6A0C">
      <w:start w:val="1"/>
      <w:numFmt w:val="decimal"/>
      <w:lvlText w:val="%7."/>
      <w:lvlJc w:val="left"/>
      <w:pPr>
        <w:ind w:left="5040" w:hanging="360"/>
      </w:pPr>
    </w:lvl>
    <w:lvl w:ilvl="7" w:tplc="E4983730">
      <w:start w:val="1"/>
      <w:numFmt w:val="lowerLetter"/>
      <w:lvlText w:val="%8."/>
      <w:lvlJc w:val="left"/>
      <w:pPr>
        <w:ind w:left="5760" w:hanging="360"/>
      </w:pPr>
    </w:lvl>
    <w:lvl w:ilvl="8" w:tplc="A1BE741C">
      <w:start w:val="1"/>
      <w:numFmt w:val="lowerRoman"/>
      <w:lvlText w:val="%9."/>
      <w:lvlJc w:val="right"/>
      <w:pPr>
        <w:ind w:left="6480" w:hanging="180"/>
      </w:pPr>
    </w:lvl>
  </w:abstractNum>
  <w:abstractNum w:abstractNumId="12" w15:restartNumberingAfterBreak="0">
    <w:nsid w:val="6494BC13"/>
    <w:multiLevelType w:val="hybridMultilevel"/>
    <w:tmpl w:val="DFF2CD40"/>
    <w:lvl w:ilvl="0" w:tplc="B468894A">
      <w:start w:val="1"/>
      <w:numFmt w:val="bullet"/>
      <w:lvlText w:val=""/>
      <w:lvlJc w:val="left"/>
      <w:pPr>
        <w:ind w:left="360" w:hanging="360"/>
      </w:pPr>
      <w:rPr>
        <w:rFonts w:ascii="Symbol" w:hAnsi="Symbol" w:hint="default"/>
      </w:rPr>
    </w:lvl>
    <w:lvl w:ilvl="1" w:tplc="5F20BB5A">
      <w:start w:val="1"/>
      <w:numFmt w:val="bullet"/>
      <w:lvlText w:val="o"/>
      <w:lvlJc w:val="left"/>
      <w:pPr>
        <w:ind w:left="1080" w:hanging="360"/>
      </w:pPr>
      <w:rPr>
        <w:rFonts w:ascii="Courier New" w:hAnsi="Courier New" w:hint="default"/>
      </w:rPr>
    </w:lvl>
    <w:lvl w:ilvl="2" w:tplc="FA7E5028">
      <w:start w:val="1"/>
      <w:numFmt w:val="bullet"/>
      <w:lvlText w:val=""/>
      <w:lvlJc w:val="left"/>
      <w:pPr>
        <w:ind w:left="1800" w:hanging="360"/>
      </w:pPr>
      <w:rPr>
        <w:rFonts w:ascii="Wingdings" w:hAnsi="Wingdings" w:hint="default"/>
      </w:rPr>
    </w:lvl>
    <w:lvl w:ilvl="3" w:tplc="9808D176">
      <w:start w:val="1"/>
      <w:numFmt w:val="bullet"/>
      <w:lvlText w:val=""/>
      <w:lvlJc w:val="left"/>
      <w:pPr>
        <w:ind w:left="2520" w:hanging="360"/>
      </w:pPr>
      <w:rPr>
        <w:rFonts w:ascii="Symbol" w:hAnsi="Symbol" w:hint="default"/>
      </w:rPr>
    </w:lvl>
    <w:lvl w:ilvl="4" w:tplc="2070B99C">
      <w:start w:val="1"/>
      <w:numFmt w:val="bullet"/>
      <w:lvlText w:val="o"/>
      <w:lvlJc w:val="left"/>
      <w:pPr>
        <w:ind w:left="3240" w:hanging="360"/>
      </w:pPr>
      <w:rPr>
        <w:rFonts w:ascii="Courier New" w:hAnsi="Courier New" w:hint="default"/>
      </w:rPr>
    </w:lvl>
    <w:lvl w:ilvl="5" w:tplc="344CBAAA">
      <w:start w:val="1"/>
      <w:numFmt w:val="bullet"/>
      <w:lvlText w:val=""/>
      <w:lvlJc w:val="left"/>
      <w:pPr>
        <w:ind w:left="3960" w:hanging="360"/>
      </w:pPr>
      <w:rPr>
        <w:rFonts w:ascii="Wingdings" w:hAnsi="Wingdings" w:hint="default"/>
      </w:rPr>
    </w:lvl>
    <w:lvl w:ilvl="6" w:tplc="9A1A5D20">
      <w:start w:val="1"/>
      <w:numFmt w:val="bullet"/>
      <w:lvlText w:val=""/>
      <w:lvlJc w:val="left"/>
      <w:pPr>
        <w:ind w:left="4680" w:hanging="360"/>
      </w:pPr>
      <w:rPr>
        <w:rFonts w:ascii="Symbol" w:hAnsi="Symbol" w:hint="default"/>
      </w:rPr>
    </w:lvl>
    <w:lvl w:ilvl="7" w:tplc="EDAC72AC">
      <w:start w:val="1"/>
      <w:numFmt w:val="bullet"/>
      <w:lvlText w:val="o"/>
      <w:lvlJc w:val="left"/>
      <w:pPr>
        <w:ind w:left="5400" w:hanging="360"/>
      </w:pPr>
      <w:rPr>
        <w:rFonts w:ascii="Courier New" w:hAnsi="Courier New" w:hint="default"/>
      </w:rPr>
    </w:lvl>
    <w:lvl w:ilvl="8" w:tplc="97D0A7D2">
      <w:start w:val="1"/>
      <w:numFmt w:val="bullet"/>
      <w:lvlText w:val=""/>
      <w:lvlJc w:val="left"/>
      <w:pPr>
        <w:ind w:left="6120" w:hanging="360"/>
      </w:pPr>
      <w:rPr>
        <w:rFonts w:ascii="Wingdings" w:hAnsi="Wingdings" w:hint="default"/>
      </w:rPr>
    </w:lvl>
  </w:abstractNum>
  <w:abstractNum w:abstractNumId="13" w15:restartNumberingAfterBreak="0">
    <w:nsid w:val="65C4D7BF"/>
    <w:multiLevelType w:val="hybridMultilevel"/>
    <w:tmpl w:val="0980B4A4"/>
    <w:lvl w:ilvl="0" w:tplc="6E4A8F8A">
      <w:start w:val="1"/>
      <w:numFmt w:val="bullet"/>
      <w:lvlText w:val=""/>
      <w:lvlJc w:val="left"/>
      <w:pPr>
        <w:ind w:left="1080" w:hanging="360"/>
      </w:pPr>
      <w:rPr>
        <w:rFonts w:ascii="Symbol" w:hAnsi="Symbol" w:hint="default"/>
      </w:rPr>
    </w:lvl>
    <w:lvl w:ilvl="1" w:tplc="1404542E">
      <w:start w:val="1"/>
      <w:numFmt w:val="bullet"/>
      <w:lvlText w:val="o"/>
      <w:lvlJc w:val="left"/>
      <w:pPr>
        <w:ind w:left="1800" w:hanging="360"/>
      </w:pPr>
      <w:rPr>
        <w:rFonts w:ascii="Courier New" w:hAnsi="Courier New" w:hint="default"/>
      </w:rPr>
    </w:lvl>
    <w:lvl w:ilvl="2" w:tplc="D1DC86E6">
      <w:start w:val="1"/>
      <w:numFmt w:val="bullet"/>
      <w:lvlText w:val=""/>
      <w:lvlJc w:val="left"/>
      <w:pPr>
        <w:ind w:left="2520" w:hanging="360"/>
      </w:pPr>
      <w:rPr>
        <w:rFonts w:ascii="Wingdings" w:hAnsi="Wingdings" w:hint="default"/>
      </w:rPr>
    </w:lvl>
    <w:lvl w:ilvl="3" w:tplc="AAE0F5D2">
      <w:start w:val="1"/>
      <w:numFmt w:val="bullet"/>
      <w:lvlText w:val=""/>
      <w:lvlJc w:val="left"/>
      <w:pPr>
        <w:ind w:left="3240" w:hanging="360"/>
      </w:pPr>
      <w:rPr>
        <w:rFonts w:ascii="Symbol" w:hAnsi="Symbol" w:hint="default"/>
      </w:rPr>
    </w:lvl>
    <w:lvl w:ilvl="4" w:tplc="3C02AC88">
      <w:start w:val="1"/>
      <w:numFmt w:val="bullet"/>
      <w:lvlText w:val="o"/>
      <w:lvlJc w:val="left"/>
      <w:pPr>
        <w:ind w:left="3960" w:hanging="360"/>
      </w:pPr>
      <w:rPr>
        <w:rFonts w:ascii="Courier New" w:hAnsi="Courier New" w:hint="default"/>
      </w:rPr>
    </w:lvl>
    <w:lvl w:ilvl="5" w:tplc="786C5D9A">
      <w:start w:val="1"/>
      <w:numFmt w:val="bullet"/>
      <w:lvlText w:val=""/>
      <w:lvlJc w:val="left"/>
      <w:pPr>
        <w:ind w:left="4680" w:hanging="360"/>
      </w:pPr>
      <w:rPr>
        <w:rFonts w:ascii="Wingdings" w:hAnsi="Wingdings" w:hint="default"/>
      </w:rPr>
    </w:lvl>
    <w:lvl w:ilvl="6" w:tplc="5762AF98">
      <w:start w:val="1"/>
      <w:numFmt w:val="bullet"/>
      <w:lvlText w:val=""/>
      <w:lvlJc w:val="left"/>
      <w:pPr>
        <w:ind w:left="5400" w:hanging="360"/>
      </w:pPr>
      <w:rPr>
        <w:rFonts w:ascii="Symbol" w:hAnsi="Symbol" w:hint="default"/>
      </w:rPr>
    </w:lvl>
    <w:lvl w:ilvl="7" w:tplc="E8B03A2E">
      <w:start w:val="1"/>
      <w:numFmt w:val="bullet"/>
      <w:lvlText w:val="o"/>
      <w:lvlJc w:val="left"/>
      <w:pPr>
        <w:ind w:left="6120" w:hanging="360"/>
      </w:pPr>
      <w:rPr>
        <w:rFonts w:ascii="Courier New" w:hAnsi="Courier New" w:hint="default"/>
      </w:rPr>
    </w:lvl>
    <w:lvl w:ilvl="8" w:tplc="4DF41E02">
      <w:start w:val="1"/>
      <w:numFmt w:val="bullet"/>
      <w:lvlText w:val=""/>
      <w:lvlJc w:val="left"/>
      <w:pPr>
        <w:ind w:left="6840" w:hanging="360"/>
      </w:pPr>
      <w:rPr>
        <w:rFonts w:ascii="Wingdings" w:hAnsi="Wingdings" w:hint="default"/>
      </w:rPr>
    </w:lvl>
  </w:abstractNum>
  <w:abstractNum w:abstractNumId="14" w15:restartNumberingAfterBreak="0">
    <w:nsid w:val="67787A0E"/>
    <w:multiLevelType w:val="hybridMultilevel"/>
    <w:tmpl w:val="2BF81A30"/>
    <w:lvl w:ilvl="0" w:tplc="2D602E6E">
      <w:start w:val="1"/>
      <w:numFmt w:val="bullet"/>
      <w:lvlText w:val=""/>
      <w:lvlJc w:val="left"/>
      <w:pPr>
        <w:ind w:left="720" w:hanging="360"/>
      </w:pPr>
      <w:rPr>
        <w:rFonts w:ascii="Symbol" w:hAnsi="Symbol" w:hint="default"/>
      </w:rPr>
    </w:lvl>
    <w:lvl w:ilvl="1" w:tplc="BC3A8700">
      <w:start w:val="1"/>
      <w:numFmt w:val="bullet"/>
      <w:lvlText w:val="o"/>
      <w:lvlJc w:val="left"/>
      <w:pPr>
        <w:ind w:left="1440" w:hanging="360"/>
      </w:pPr>
      <w:rPr>
        <w:rFonts w:ascii="Courier New" w:hAnsi="Courier New" w:hint="default"/>
      </w:rPr>
    </w:lvl>
    <w:lvl w:ilvl="2" w:tplc="80BC38D4">
      <w:start w:val="1"/>
      <w:numFmt w:val="bullet"/>
      <w:lvlText w:val=""/>
      <w:lvlJc w:val="left"/>
      <w:pPr>
        <w:ind w:left="2160" w:hanging="360"/>
      </w:pPr>
      <w:rPr>
        <w:rFonts w:ascii="Wingdings" w:hAnsi="Wingdings" w:hint="default"/>
      </w:rPr>
    </w:lvl>
    <w:lvl w:ilvl="3" w:tplc="749E44B8">
      <w:start w:val="1"/>
      <w:numFmt w:val="bullet"/>
      <w:lvlText w:val=""/>
      <w:lvlJc w:val="left"/>
      <w:pPr>
        <w:ind w:left="2880" w:hanging="360"/>
      </w:pPr>
      <w:rPr>
        <w:rFonts w:ascii="Symbol" w:hAnsi="Symbol" w:hint="default"/>
      </w:rPr>
    </w:lvl>
    <w:lvl w:ilvl="4" w:tplc="C358B082">
      <w:start w:val="1"/>
      <w:numFmt w:val="bullet"/>
      <w:lvlText w:val="o"/>
      <w:lvlJc w:val="left"/>
      <w:pPr>
        <w:ind w:left="3600" w:hanging="360"/>
      </w:pPr>
      <w:rPr>
        <w:rFonts w:ascii="Courier New" w:hAnsi="Courier New" w:hint="default"/>
      </w:rPr>
    </w:lvl>
    <w:lvl w:ilvl="5" w:tplc="19F0795C">
      <w:start w:val="1"/>
      <w:numFmt w:val="bullet"/>
      <w:lvlText w:val=""/>
      <w:lvlJc w:val="left"/>
      <w:pPr>
        <w:ind w:left="4320" w:hanging="360"/>
      </w:pPr>
      <w:rPr>
        <w:rFonts w:ascii="Wingdings" w:hAnsi="Wingdings" w:hint="default"/>
      </w:rPr>
    </w:lvl>
    <w:lvl w:ilvl="6" w:tplc="2ADCA79A">
      <w:start w:val="1"/>
      <w:numFmt w:val="bullet"/>
      <w:lvlText w:val=""/>
      <w:lvlJc w:val="left"/>
      <w:pPr>
        <w:ind w:left="5040" w:hanging="360"/>
      </w:pPr>
      <w:rPr>
        <w:rFonts w:ascii="Symbol" w:hAnsi="Symbol" w:hint="default"/>
      </w:rPr>
    </w:lvl>
    <w:lvl w:ilvl="7" w:tplc="46C2E9E6">
      <w:start w:val="1"/>
      <w:numFmt w:val="bullet"/>
      <w:lvlText w:val="o"/>
      <w:lvlJc w:val="left"/>
      <w:pPr>
        <w:ind w:left="5760" w:hanging="360"/>
      </w:pPr>
      <w:rPr>
        <w:rFonts w:ascii="Courier New" w:hAnsi="Courier New" w:hint="default"/>
      </w:rPr>
    </w:lvl>
    <w:lvl w:ilvl="8" w:tplc="A1280A86">
      <w:start w:val="1"/>
      <w:numFmt w:val="bullet"/>
      <w:lvlText w:val=""/>
      <w:lvlJc w:val="left"/>
      <w:pPr>
        <w:ind w:left="6480" w:hanging="360"/>
      </w:pPr>
      <w:rPr>
        <w:rFonts w:ascii="Wingdings" w:hAnsi="Wingdings" w:hint="default"/>
      </w:rPr>
    </w:lvl>
  </w:abstractNum>
  <w:abstractNum w:abstractNumId="15" w15:restartNumberingAfterBreak="0">
    <w:nsid w:val="75F77167"/>
    <w:multiLevelType w:val="hybridMultilevel"/>
    <w:tmpl w:val="4656C664"/>
    <w:lvl w:ilvl="0" w:tplc="7954F7C2">
      <w:start w:val="1"/>
      <w:numFmt w:val="bullet"/>
      <w:lvlText w:val="·"/>
      <w:lvlJc w:val="left"/>
      <w:pPr>
        <w:ind w:left="720" w:hanging="360"/>
      </w:pPr>
      <w:rPr>
        <w:rFonts w:ascii="Symbol" w:hAnsi="Symbol" w:hint="default"/>
      </w:rPr>
    </w:lvl>
    <w:lvl w:ilvl="1" w:tplc="66DC7DC2">
      <w:start w:val="1"/>
      <w:numFmt w:val="bullet"/>
      <w:lvlText w:val="o"/>
      <w:lvlJc w:val="left"/>
      <w:pPr>
        <w:ind w:left="1440" w:hanging="360"/>
      </w:pPr>
      <w:rPr>
        <w:rFonts w:ascii="Courier New" w:hAnsi="Courier New" w:hint="default"/>
      </w:rPr>
    </w:lvl>
    <w:lvl w:ilvl="2" w:tplc="F95E4574">
      <w:start w:val="1"/>
      <w:numFmt w:val="bullet"/>
      <w:lvlText w:val=""/>
      <w:lvlJc w:val="left"/>
      <w:pPr>
        <w:ind w:left="2160" w:hanging="360"/>
      </w:pPr>
      <w:rPr>
        <w:rFonts w:ascii="Wingdings" w:hAnsi="Wingdings" w:hint="default"/>
      </w:rPr>
    </w:lvl>
    <w:lvl w:ilvl="3" w:tplc="C38A3FDC">
      <w:start w:val="1"/>
      <w:numFmt w:val="bullet"/>
      <w:lvlText w:val=""/>
      <w:lvlJc w:val="left"/>
      <w:pPr>
        <w:ind w:left="2880" w:hanging="360"/>
      </w:pPr>
      <w:rPr>
        <w:rFonts w:ascii="Symbol" w:hAnsi="Symbol" w:hint="default"/>
      </w:rPr>
    </w:lvl>
    <w:lvl w:ilvl="4" w:tplc="31F26D6E">
      <w:start w:val="1"/>
      <w:numFmt w:val="bullet"/>
      <w:lvlText w:val="o"/>
      <w:lvlJc w:val="left"/>
      <w:pPr>
        <w:ind w:left="3600" w:hanging="360"/>
      </w:pPr>
      <w:rPr>
        <w:rFonts w:ascii="Courier New" w:hAnsi="Courier New" w:hint="default"/>
      </w:rPr>
    </w:lvl>
    <w:lvl w:ilvl="5" w:tplc="7D4400DE">
      <w:start w:val="1"/>
      <w:numFmt w:val="bullet"/>
      <w:lvlText w:val=""/>
      <w:lvlJc w:val="left"/>
      <w:pPr>
        <w:ind w:left="4320" w:hanging="360"/>
      </w:pPr>
      <w:rPr>
        <w:rFonts w:ascii="Wingdings" w:hAnsi="Wingdings" w:hint="default"/>
      </w:rPr>
    </w:lvl>
    <w:lvl w:ilvl="6" w:tplc="8EF038E6">
      <w:start w:val="1"/>
      <w:numFmt w:val="bullet"/>
      <w:lvlText w:val=""/>
      <w:lvlJc w:val="left"/>
      <w:pPr>
        <w:ind w:left="5040" w:hanging="360"/>
      </w:pPr>
      <w:rPr>
        <w:rFonts w:ascii="Symbol" w:hAnsi="Symbol" w:hint="default"/>
      </w:rPr>
    </w:lvl>
    <w:lvl w:ilvl="7" w:tplc="3ED4B024">
      <w:start w:val="1"/>
      <w:numFmt w:val="bullet"/>
      <w:lvlText w:val="o"/>
      <w:lvlJc w:val="left"/>
      <w:pPr>
        <w:ind w:left="5760" w:hanging="360"/>
      </w:pPr>
      <w:rPr>
        <w:rFonts w:ascii="Courier New" w:hAnsi="Courier New" w:hint="default"/>
      </w:rPr>
    </w:lvl>
    <w:lvl w:ilvl="8" w:tplc="DF46262C">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3"/>
  </w:num>
  <w:num w:numId="5">
    <w:abstractNumId w:val="14"/>
  </w:num>
  <w:num w:numId="6">
    <w:abstractNumId w:val="5"/>
  </w:num>
  <w:num w:numId="7">
    <w:abstractNumId w:val="10"/>
  </w:num>
  <w:num w:numId="8">
    <w:abstractNumId w:val="7"/>
  </w:num>
  <w:num w:numId="9">
    <w:abstractNumId w:val="8"/>
  </w:num>
  <w:num w:numId="10">
    <w:abstractNumId w:val="9"/>
  </w:num>
  <w:num w:numId="11">
    <w:abstractNumId w:val="4"/>
  </w:num>
  <w:num w:numId="12">
    <w:abstractNumId w:val="0"/>
  </w:num>
  <w:num w:numId="13">
    <w:abstractNumId w:val="1"/>
  </w:num>
  <w:num w:numId="14">
    <w:abstractNumId w:val="2"/>
  </w:num>
  <w:num w:numId="15">
    <w:abstractNumId w:val="3"/>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55DDC"/>
    <w:rsid w:val="00057C9E"/>
    <w:rsid w:val="000703CA"/>
    <w:rsid w:val="000713F4"/>
    <w:rsid w:val="00072577"/>
    <w:rsid w:val="00073810"/>
    <w:rsid w:val="000B366E"/>
    <w:rsid w:val="000B4C4D"/>
    <w:rsid w:val="000C646A"/>
    <w:rsid w:val="000E090C"/>
    <w:rsid w:val="000E5221"/>
    <w:rsid w:val="000E6651"/>
    <w:rsid w:val="000F4917"/>
    <w:rsid w:val="0011289B"/>
    <w:rsid w:val="001217A8"/>
    <w:rsid w:val="00132B05"/>
    <w:rsid w:val="00134454"/>
    <w:rsid w:val="00134819"/>
    <w:rsid w:val="001564AB"/>
    <w:rsid w:val="00185184"/>
    <w:rsid w:val="00196601"/>
    <w:rsid w:val="001A3DD2"/>
    <w:rsid w:val="001B1770"/>
    <w:rsid w:val="001C5FEB"/>
    <w:rsid w:val="001C752E"/>
    <w:rsid w:val="001D32DA"/>
    <w:rsid w:val="001D5CB5"/>
    <w:rsid w:val="001E1FCD"/>
    <w:rsid w:val="001E4B19"/>
    <w:rsid w:val="001E7BB3"/>
    <w:rsid w:val="00206261"/>
    <w:rsid w:val="00213205"/>
    <w:rsid w:val="00225333"/>
    <w:rsid w:val="0023115A"/>
    <w:rsid w:val="00233FBE"/>
    <w:rsid w:val="002411E0"/>
    <w:rsid w:val="00241EBD"/>
    <w:rsid w:val="002528ED"/>
    <w:rsid w:val="0026237B"/>
    <w:rsid w:val="00267FE8"/>
    <w:rsid w:val="002776C1"/>
    <w:rsid w:val="00277AAE"/>
    <w:rsid w:val="002948EC"/>
    <w:rsid w:val="00294FF9"/>
    <w:rsid w:val="002E64D8"/>
    <w:rsid w:val="002F4A18"/>
    <w:rsid w:val="002F5970"/>
    <w:rsid w:val="003370FE"/>
    <w:rsid w:val="003574C1"/>
    <w:rsid w:val="003A1AA5"/>
    <w:rsid w:val="003C3A8B"/>
    <w:rsid w:val="003D07D3"/>
    <w:rsid w:val="003D5726"/>
    <w:rsid w:val="003E14EE"/>
    <w:rsid w:val="00400C5B"/>
    <w:rsid w:val="004078DD"/>
    <w:rsid w:val="00412E0E"/>
    <w:rsid w:val="00414AD6"/>
    <w:rsid w:val="0044289B"/>
    <w:rsid w:val="00462CDF"/>
    <w:rsid w:val="004731E8"/>
    <w:rsid w:val="00475A5E"/>
    <w:rsid w:val="004B56E0"/>
    <w:rsid w:val="004D2E50"/>
    <w:rsid w:val="004D5225"/>
    <w:rsid w:val="004E28BD"/>
    <w:rsid w:val="005359F8"/>
    <w:rsid w:val="0053784E"/>
    <w:rsid w:val="005434E7"/>
    <w:rsid w:val="005445B4"/>
    <w:rsid w:val="00560E4B"/>
    <w:rsid w:val="005610D1"/>
    <w:rsid w:val="0056685F"/>
    <w:rsid w:val="00573D65"/>
    <w:rsid w:val="00581EF4"/>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7E0F"/>
    <w:rsid w:val="00682617"/>
    <w:rsid w:val="00682F7F"/>
    <w:rsid w:val="006840F0"/>
    <w:rsid w:val="006B16C1"/>
    <w:rsid w:val="006C0C3F"/>
    <w:rsid w:val="006C5DF6"/>
    <w:rsid w:val="006D1DF1"/>
    <w:rsid w:val="006E47ED"/>
    <w:rsid w:val="006F0641"/>
    <w:rsid w:val="007403B3"/>
    <w:rsid w:val="00743D15"/>
    <w:rsid w:val="00746EA4"/>
    <w:rsid w:val="0075278E"/>
    <w:rsid w:val="00754706"/>
    <w:rsid w:val="00764D2E"/>
    <w:rsid w:val="007828BE"/>
    <w:rsid w:val="0078748C"/>
    <w:rsid w:val="00792956"/>
    <w:rsid w:val="00792D87"/>
    <w:rsid w:val="007966DD"/>
    <w:rsid w:val="007A015E"/>
    <w:rsid w:val="007A2C42"/>
    <w:rsid w:val="007A3D46"/>
    <w:rsid w:val="007C14AA"/>
    <w:rsid w:val="007C2D9B"/>
    <w:rsid w:val="007D25C8"/>
    <w:rsid w:val="007D7312"/>
    <w:rsid w:val="007E7A28"/>
    <w:rsid w:val="00806587"/>
    <w:rsid w:val="00827910"/>
    <w:rsid w:val="00842576"/>
    <w:rsid w:val="0084261C"/>
    <w:rsid w:val="00852EEC"/>
    <w:rsid w:val="008662C2"/>
    <w:rsid w:val="00866538"/>
    <w:rsid w:val="008742CD"/>
    <w:rsid w:val="0088087C"/>
    <w:rsid w:val="008A1691"/>
    <w:rsid w:val="008B5D4C"/>
    <w:rsid w:val="008C5891"/>
    <w:rsid w:val="008C7123"/>
    <w:rsid w:val="008D63DA"/>
    <w:rsid w:val="008F16C8"/>
    <w:rsid w:val="008F6140"/>
    <w:rsid w:val="008F7976"/>
    <w:rsid w:val="00916715"/>
    <w:rsid w:val="00920752"/>
    <w:rsid w:val="009318B6"/>
    <w:rsid w:val="009419F0"/>
    <w:rsid w:val="00943920"/>
    <w:rsid w:val="00947C69"/>
    <w:rsid w:val="009618A9"/>
    <w:rsid w:val="00963AE0"/>
    <w:rsid w:val="009854DD"/>
    <w:rsid w:val="00994C06"/>
    <w:rsid w:val="009A20A0"/>
    <w:rsid w:val="009A25BE"/>
    <w:rsid w:val="009B2803"/>
    <w:rsid w:val="009B69E0"/>
    <w:rsid w:val="009C59F1"/>
    <w:rsid w:val="009D3B82"/>
    <w:rsid w:val="009D5D76"/>
    <w:rsid w:val="009E2DAC"/>
    <w:rsid w:val="009E6D6E"/>
    <w:rsid w:val="009F709C"/>
    <w:rsid w:val="00A11161"/>
    <w:rsid w:val="00A169CC"/>
    <w:rsid w:val="00A338D7"/>
    <w:rsid w:val="00A37705"/>
    <w:rsid w:val="00A5455B"/>
    <w:rsid w:val="00A67C29"/>
    <w:rsid w:val="00A719CD"/>
    <w:rsid w:val="00A823D0"/>
    <w:rsid w:val="00AC222F"/>
    <w:rsid w:val="00AC5140"/>
    <w:rsid w:val="00AD5937"/>
    <w:rsid w:val="00AE3EEB"/>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D645C"/>
    <w:rsid w:val="00BF17A4"/>
    <w:rsid w:val="00BF2A31"/>
    <w:rsid w:val="00BF54FD"/>
    <w:rsid w:val="00C01EE4"/>
    <w:rsid w:val="00C11089"/>
    <w:rsid w:val="00C16734"/>
    <w:rsid w:val="00C45891"/>
    <w:rsid w:val="00C52093"/>
    <w:rsid w:val="00C52D67"/>
    <w:rsid w:val="00C715DD"/>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4F09"/>
    <w:rsid w:val="00D576E5"/>
    <w:rsid w:val="00D66BB5"/>
    <w:rsid w:val="00D719F6"/>
    <w:rsid w:val="00D832D4"/>
    <w:rsid w:val="00D872AC"/>
    <w:rsid w:val="00D93881"/>
    <w:rsid w:val="00DA0123"/>
    <w:rsid w:val="00DA4E38"/>
    <w:rsid w:val="00DB7D23"/>
    <w:rsid w:val="00DC597B"/>
    <w:rsid w:val="00DD270A"/>
    <w:rsid w:val="00DE7E24"/>
    <w:rsid w:val="00DF1819"/>
    <w:rsid w:val="00DF2E46"/>
    <w:rsid w:val="00E073D5"/>
    <w:rsid w:val="00E07B8F"/>
    <w:rsid w:val="00E228B1"/>
    <w:rsid w:val="00E271DC"/>
    <w:rsid w:val="00E31215"/>
    <w:rsid w:val="00E64B55"/>
    <w:rsid w:val="00E73935"/>
    <w:rsid w:val="00E83ED2"/>
    <w:rsid w:val="00EB087C"/>
    <w:rsid w:val="00EB2315"/>
    <w:rsid w:val="00EB3756"/>
    <w:rsid w:val="00EC729E"/>
    <w:rsid w:val="00EE343D"/>
    <w:rsid w:val="00EF1F1D"/>
    <w:rsid w:val="00F00EAE"/>
    <w:rsid w:val="00F02E56"/>
    <w:rsid w:val="00F13ABA"/>
    <w:rsid w:val="00F15683"/>
    <w:rsid w:val="00F26727"/>
    <w:rsid w:val="00F30A43"/>
    <w:rsid w:val="00F45B7D"/>
    <w:rsid w:val="00F64009"/>
    <w:rsid w:val="00F84AC2"/>
    <w:rsid w:val="00F95BD6"/>
    <w:rsid w:val="00FB425D"/>
    <w:rsid w:val="00FC3D17"/>
    <w:rsid w:val="00FD40F3"/>
    <w:rsid w:val="00FF6C83"/>
    <w:rsid w:val="01707C3C"/>
    <w:rsid w:val="02014FCD"/>
    <w:rsid w:val="10AEE048"/>
    <w:rsid w:val="1C18F0E3"/>
    <w:rsid w:val="20528A80"/>
    <w:rsid w:val="21096C7F"/>
    <w:rsid w:val="2884D38F"/>
    <w:rsid w:val="37E2D7A5"/>
    <w:rsid w:val="3C53699D"/>
    <w:rsid w:val="3ED8AD18"/>
    <w:rsid w:val="43DB10C2"/>
    <w:rsid w:val="441F80E5"/>
    <w:rsid w:val="4B3DEF5F"/>
    <w:rsid w:val="4E0BE3BF"/>
    <w:rsid w:val="614E4E9B"/>
    <w:rsid w:val="61E02F1F"/>
    <w:rsid w:val="656AE760"/>
    <w:rsid w:val="67A4AD9E"/>
    <w:rsid w:val="727F8A1D"/>
    <w:rsid w:val="771D5593"/>
    <w:rsid w:val="7FDF2D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37B2D"/>
  <w15:chartTrackingRefBased/>
  <w15:docId w15:val="{5E1CB02A-2126-4149-8695-7022F276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6149A-BF6D-48B2-8A31-0C02A1C6D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0BFD3056-6003-49DC-B35B-7FB0DBDA7F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9B1A46-4F9D-4194-A24B-864DD833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3</cp:revision>
  <cp:lastPrinted>2024-07-22T22:32:00Z</cp:lastPrinted>
  <dcterms:created xsi:type="dcterms:W3CDTF">2024-11-15T15:08:00Z</dcterms:created>
  <dcterms:modified xsi:type="dcterms:W3CDTF">2024-11-15T15:12:00Z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0x010100E1C087623989524EB8501CC0708E2842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